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E9D" w:rsidRDefault="006B456A" w:rsidP="006B456A">
      <w:pPr>
        <w:spacing w:after="0"/>
      </w:pPr>
      <w:r w:rsidRPr="006B456A">
        <w:t>Antwerpen, 13 januari 2010</w:t>
      </w:r>
      <w:r w:rsidR="00810CEC">
        <w:t>.</w:t>
      </w:r>
    </w:p>
    <w:p w:rsidR="006B456A" w:rsidRPr="00FC71DB" w:rsidRDefault="006B456A" w:rsidP="006B456A">
      <w:pPr>
        <w:spacing w:after="0"/>
        <w:rPr>
          <w:b/>
        </w:rPr>
      </w:pPr>
      <w:r w:rsidRPr="00FC71DB">
        <w:rPr>
          <w:b/>
        </w:rPr>
        <w:t>Persconferentie Vlaams Belang Antwerpen</w:t>
      </w:r>
    </w:p>
    <w:p w:rsidR="006B456A" w:rsidRDefault="006B456A" w:rsidP="00D74D9A">
      <w:pPr>
        <w:spacing w:after="0"/>
        <w:jc w:val="center"/>
        <w:rPr>
          <w:b/>
          <w:sz w:val="32"/>
          <w:szCs w:val="32"/>
          <w:u w:val="single"/>
        </w:rPr>
      </w:pPr>
    </w:p>
    <w:p w:rsidR="00BF4B91" w:rsidRPr="00D74D9A" w:rsidRDefault="00BF4B91" w:rsidP="00D74D9A">
      <w:pPr>
        <w:spacing w:after="0"/>
        <w:jc w:val="center"/>
        <w:rPr>
          <w:b/>
          <w:sz w:val="32"/>
          <w:szCs w:val="32"/>
          <w:u w:val="single"/>
        </w:rPr>
      </w:pPr>
      <w:r w:rsidRPr="00D74D9A">
        <w:rPr>
          <w:b/>
          <w:sz w:val="32"/>
          <w:szCs w:val="32"/>
          <w:u w:val="single"/>
        </w:rPr>
        <w:t>Antwerpen 2000 – 2010: stand van zaken van het decennium</w:t>
      </w:r>
    </w:p>
    <w:p w:rsidR="00BF4B91" w:rsidRDefault="00BF4B91" w:rsidP="007F2295">
      <w:pPr>
        <w:spacing w:after="0"/>
        <w:rPr>
          <w:i/>
          <w:sz w:val="18"/>
          <w:szCs w:val="18"/>
        </w:rPr>
      </w:pPr>
    </w:p>
    <w:p w:rsidR="006B456A" w:rsidRDefault="006B456A" w:rsidP="007F2295">
      <w:pPr>
        <w:spacing w:after="0"/>
      </w:pPr>
    </w:p>
    <w:p w:rsidR="00BF4B91" w:rsidRDefault="00BF4B91" w:rsidP="007F2295">
      <w:pPr>
        <w:spacing w:after="0"/>
      </w:pPr>
      <w:r>
        <w:t>De voorbije weken verschenen nogal wat beschouwingen</w:t>
      </w:r>
      <w:r w:rsidR="006B456A">
        <w:t xml:space="preserve"> en</w:t>
      </w:r>
      <w:r>
        <w:t xml:space="preserve"> commentaren naar aanleiding van het Antwerpse decenniumoverzicht 2000-2010. </w:t>
      </w:r>
    </w:p>
    <w:p w:rsidR="00BF4B91" w:rsidRDefault="00BF4B91" w:rsidP="007F2295">
      <w:pPr>
        <w:spacing w:after="0"/>
      </w:pPr>
    </w:p>
    <w:p w:rsidR="00BF4B91" w:rsidRPr="00D74D9A" w:rsidRDefault="00BF4B91" w:rsidP="007F2295">
      <w:pPr>
        <w:spacing w:after="0"/>
      </w:pPr>
      <w:r>
        <w:t>Meestal heet het dat de voorbije tien jaar voor Antwerpen positief en bijzonder gunstig was. Steevast wordt dan verwezen naar een aantal afgewerkte, aan de gang zijnde of aangekondigde grote infrastructuurwerken (park Spoor Noord, Centraal Station, MAS, heraanleg Leien</w:t>
      </w:r>
      <w:r w:rsidR="008F68A6">
        <w:t>, voetbalstadion,…</w:t>
      </w:r>
      <w:r>
        <w:t>), de heraanleg  van straten en pleinen en de renovatie van bepaalde stadsdelen, buurten en wijken (</w:t>
      </w:r>
      <w:r w:rsidR="008F68A6">
        <w:t xml:space="preserve">Linkeroever, </w:t>
      </w:r>
      <w:r>
        <w:t xml:space="preserve">Zuid, Eilandje), … Dat er veel geïnvesteerd werd in bakstenen, asfalt en infrastructuur kan niemand ontkennen noch negeren. </w:t>
      </w:r>
      <w:r w:rsidR="008F68A6">
        <w:t xml:space="preserve"> Ook in cultuur, toerisme en citymarketing werd geïnvesteerd. </w:t>
      </w:r>
      <w:r>
        <w:t xml:space="preserve">Al te dikwijls </w:t>
      </w:r>
      <w:r w:rsidR="008F68A6">
        <w:t xml:space="preserve">echter </w:t>
      </w:r>
      <w:r>
        <w:t xml:space="preserve">verliest men een aantal andere minder gunstige evoluties uit het oog. Over de onveiligheid, de toename van illegalen, asielzoekers en immigranten, over de vergrijzing en de witte vlucht, over de toename van de werkloosheid en de armoede wordt meestal zedig gezwegen. Zonder de positieve evoluties uit het oog te verliezen, wil en moet </w:t>
      </w:r>
      <w:r w:rsidR="008F68A6">
        <w:t>ook de keerzijde van de medaille getoond worden</w:t>
      </w:r>
      <w:r>
        <w:t>.</w:t>
      </w:r>
    </w:p>
    <w:p w:rsidR="00BF4B91" w:rsidRDefault="00BF4B91" w:rsidP="007F2295">
      <w:pPr>
        <w:spacing w:after="0"/>
        <w:rPr>
          <w:b/>
        </w:rPr>
      </w:pPr>
    </w:p>
    <w:p w:rsidR="00BF4B91" w:rsidRDefault="00BF4B91" w:rsidP="007F2295">
      <w:pPr>
        <w:spacing w:after="0"/>
        <w:rPr>
          <w:b/>
        </w:rPr>
      </w:pPr>
    </w:p>
    <w:p w:rsidR="00BF4B91" w:rsidRDefault="00BF4B91" w:rsidP="00271681">
      <w:pPr>
        <w:numPr>
          <w:ilvl w:val="0"/>
          <w:numId w:val="2"/>
        </w:numPr>
        <w:spacing w:after="0"/>
        <w:rPr>
          <w:b/>
          <w:u w:val="single"/>
        </w:rPr>
      </w:pPr>
      <w:r w:rsidRPr="00D74D9A">
        <w:rPr>
          <w:b/>
          <w:u w:val="single"/>
        </w:rPr>
        <w:t>De demografische evolutie</w:t>
      </w:r>
    </w:p>
    <w:p w:rsidR="00BF4B91" w:rsidRPr="00D74D9A" w:rsidRDefault="00BF4B91" w:rsidP="007F2295">
      <w:pPr>
        <w:spacing w:after="0"/>
        <w:rPr>
          <w:b/>
          <w:u w:val="single"/>
        </w:rPr>
      </w:pPr>
    </w:p>
    <w:p w:rsidR="00BF4B91" w:rsidRPr="0090157C" w:rsidRDefault="00BF4B91" w:rsidP="007F2295">
      <w:pPr>
        <w:spacing w:after="0"/>
        <w:rPr>
          <w:b/>
        </w:rPr>
      </w:pPr>
      <w:r w:rsidRPr="0090157C">
        <w:rPr>
          <w:b/>
        </w:rPr>
        <w:t>De totale Antwerpse bevolking:</w:t>
      </w:r>
    </w:p>
    <w:p w:rsidR="00BF4B91" w:rsidRDefault="00BF4B91" w:rsidP="007F2295">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F4B91" w:rsidRPr="00EF2AE2" w:rsidTr="00EF2AE2">
        <w:tc>
          <w:tcPr>
            <w:tcW w:w="3070" w:type="dxa"/>
          </w:tcPr>
          <w:p w:rsidR="00BF4B91" w:rsidRPr="00EF2AE2" w:rsidRDefault="00BF4B91" w:rsidP="00EF2AE2">
            <w:pPr>
              <w:spacing w:after="0" w:line="240" w:lineRule="auto"/>
            </w:pPr>
            <w:r w:rsidRPr="00EF2AE2">
              <w:t>2000</w:t>
            </w:r>
          </w:p>
        </w:tc>
        <w:tc>
          <w:tcPr>
            <w:tcW w:w="3071" w:type="dxa"/>
          </w:tcPr>
          <w:p w:rsidR="00BF4B91" w:rsidRPr="00EF2AE2" w:rsidRDefault="00BF4B91" w:rsidP="00EF2AE2">
            <w:pPr>
              <w:spacing w:after="0" w:line="240" w:lineRule="auto"/>
            </w:pPr>
            <w:r w:rsidRPr="00EF2AE2">
              <w:t>2010</w:t>
            </w:r>
          </w:p>
        </w:tc>
        <w:tc>
          <w:tcPr>
            <w:tcW w:w="3071" w:type="dxa"/>
          </w:tcPr>
          <w:p w:rsidR="00BF4B91" w:rsidRPr="00EF2AE2" w:rsidRDefault="00BF4B91" w:rsidP="00EF2AE2">
            <w:pPr>
              <w:spacing w:after="0" w:line="240" w:lineRule="auto"/>
            </w:pPr>
            <w:r w:rsidRPr="00EF2AE2">
              <w:t>verschil</w:t>
            </w:r>
          </w:p>
        </w:tc>
      </w:tr>
      <w:tr w:rsidR="00BF4B91" w:rsidRPr="00EF2AE2" w:rsidTr="00EF2AE2">
        <w:tc>
          <w:tcPr>
            <w:tcW w:w="3070" w:type="dxa"/>
          </w:tcPr>
          <w:p w:rsidR="00BF4B91" w:rsidRPr="00EF2AE2" w:rsidRDefault="00BF4B91" w:rsidP="00EF2AE2">
            <w:pPr>
              <w:spacing w:after="0" w:line="240" w:lineRule="auto"/>
            </w:pPr>
            <w:r w:rsidRPr="00EF2AE2">
              <w:t>444.987</w:t>
            </w:r>
          </w:p>
        </w:tc>
        <w:tc>
          <w:tcPr>
            <w:tcW w:w="3071" w:type="dxa"/>
          </w:tcPr>
          <w:p w:rsidR="00BF4B91" w:rsidRPr="00EF2AE2" w:rsidRDefault="00BF4B91" w:rsidP="00EF2AE2">
            <w:pPr>
              <w:spacing w:after="0" w:line="240" w:lineRule="auto"/>
            </w:pPr>
            <w:r w:rsidRPr="00EF2AE2">
              <w:t>482.456</w:t>
            </w:r>
          </w:p>
        </w:tc>
        <w:tc>
          <w:tcPr>
            <w:tcW w:w="3071" w:type="dxa"/>
          </w:tcPr>
          <w:p w:rsidR="00BF4B91" w:rsidRPr="00EF2AE2" w:rsidRDefault="00BF4B91" w:rsidP="00EF2AE2">
            <w:pPr>
              <w:spacing w:after="0" w:line="240" w:lineRule="auto"/>
            </w:pPr>
            <w:r w:rsidRPr="00EF2AE2">
              <w:t>+ 37.469</w:t>
            </w:r>
          </w:p>
        </w:tc>
      </w:tr>
    </w:tbl>
    <w:p w:rsidR="00BF4B91" w:rsidRDefault="00BF4B91" w:rsidP="007F2295">
      <w:pPr>
        <w:spacing w:after="0"/>
      </w:pPr>
    </w:p>
    <w:p w:rsidR="00BF4B91" w:rsidRPr="0090157C" w:rsidRDefault="00BF4B91" w:rsidP="007F2295">
      <w:pPr>
        <w:spacing w:after="0"/>
        <w:rPr>
          <w:b/>
        </w:rPr>
      </w:pPr>
      <w:r w:rsidRPr="0090157C">
        <w:rPr>
          <w:b/>
        </w:rPr>
        <w:t>Is de stadsvlucht dan gestopt?</w:t>
      </w:r>
    </w:p>
    <w:p w:rsidR="00BF4B91" w:rsidRDefault="00BF4B91" w:rsidP="007F2295">
      <w:pPr>
        <w:spacing w:after="0"/>
      </w:pPr>
    </w:p>
    <w:p w:rsidR="00BF4B91" w:rsidRDefault="00BF4B91" w:rsidP="007F2295">
      <w:pPr>
        <w:spacing w:after="0"/>
      </w:pPr>
      <w:r>
        <w:t xml:space="preserve">Sinds het jaar 2000 is de bevolking in Antwerpen niet meer gedaald. Daaruit wordt al te snel en al te gemakkelijk geconcludeerd dat de stadsvlucht gestopt is. Uit de cijfers die volgen, kunnen we afleiden dat de stadsvlucht van de Belgische bevolking nooit gestopt is (het negatief saldo bedraagt gemiddeld nog steeds 2550 Antwerpenaren per jaar). Het migratieverlies wordt volledig gecompenseerd door de immigratie van vreemdelingen naar onze stad. </w:t>
      </w:r>
    </w:p>
    <w:p w:rsidR="00BF4B91" w:rsidRDefault="00BF4B91" w:rsidP="007F2295">
      <w:pPr>
        <w:spacing w:after="0"/>
      </w:pPr>
    </w:p>
    <w:p w:rsidR="00BF4B91" w:rsidRDefault="00BF4B91" w:rsidP="0090157C">
      <w:pPr>
        <w:pStyle w:val="Lijstalinea"/>
        <w:numPr>
          <w:ilvl w:val="0"/>
          <w:numId w:val="1"/>
        </w:numPr>
        <w:spacing w:after="0"/>
      </w:pPr>
      <w:r>
        <w:t>Het migratieverlies van de Belgische bevolking van 2000 tot 2010 bedraagt: - 24.391</w:t>
      </w:r>
    </w:p>
    <w:p w:rsidR="00BF4B91" w:rsidRDefault="00BF4B91" w:rsidP="0090157C">
      <w:pPr>
        <w:pStyle w:val="Lijstalinea"/>
        <w:numPr>
          <w:ilvl w:val="0"/>
          <w:numId w:val="1"/>
        </w:numPr>
        <w:spacing w:after="0"/>
      </w:pPr>
      <w:r>
        <w:t>Het migratiesurplus van de vreemde bevolking van 2000 tot 2010 bedraagt: + 59.120</w:t>
      </w:r>
    </w:p>
    <w:p w:rsidR="00BF4B91" w:rsidRDefault="00BF4B91" w:rsidP="007F2295">
      <w:pPr>
        <w:spacing w:after="0"/>
      </w:pPr>
    </w:p>
    <w:p w:rsidR="00271681" w:rsidRDefault="00271681" w:rsidP="00271681">
      <w:pPr>
        <w:spacing w:after="0"/>
        <w:rPr>
          <w:b/>
          <w:u w:val="single"/>
        </w:rPr>
      </w:pPr>
    </w:p>
    <w:p w:rsidR="00271681" w:rsidRDefault="00271681" w:rsidP="007F2295">
      <w:pPr>
        <w:spacing w:after="0"/>
        <w:rPr>
          <w:b/>
          <w:u w:val="single"/>
        </w:rPr>
      </w:pPr>
    </w:p>
    <w:p w:rsidR="00133E9D" w:rsidRDefault="00133E9D" w:rsidP="007F2295">
      <w:pPr>
        <w:spacing w:after="0"/>
        <w:rPr>
          <w:b/>
          <w:u w:val="single"/>
        </w:rPr>
      </w:pPr>
    </w:p>
    <w:p w:rsidR="00133E9D" w:rsidRDefault="00133E9D" w:rsidP="007F2295">
      <w:pPr>
        <w:spacing w:after="0"/>
        <w:rPr>
          <w:b/>
          <w:u w:val="single"/>
        </w:rPr>
      </w:pPr>
    </w:p>
    <w:p w:rsidR="00BF4B91" w:rsidRPr="00D74D9A" w:rsidRDefault="00BF4B91" w:rsidP="00133E9D">
      <w:pPr>
        <w:numPr>
          <w:ilvl w:val="0"/>
          <w:numId w:val="2"/>
        </w:numPr>
        <w:spacing w:after="0"/>
        <w:rPr>
          <w:b/>
          <w:u w:val="single"/>
        </w:rPr>
      </w:pPr>
      <w:r w:rsidRPr="00D74D9A">
        <w:rPr>
          <w:b/>
          <w:u w:val="single"/>
        </w:rPr>
        <w:lastRenderedPageBreak/>
        <w:t>De etnische evolutie</w:t>
      </w:r>
    </w:p>
    <w:p w:rsidR="00BF4B91" w:rsidRDefault="00BF4B91" w:rsidP="007F2295">
      <w:pPr>
        <w:spacing w:after="0"/>
      </w:pPr>
    </w:p>
    <w:p w:rsidR="00BF4B91" w:rsidRPr="0090157C" w:rsidRDefault="00BF4B91" w:rsidP="007F2295">
      <w:pPr>
        <w:spacing w:after="0"/>
        <w:rPr>
          <w:b/>
        </w:rPr>
      </w:pPr>
      <w:r w:rsidRPr="0090157C">
        <w:rPr>
          <w:b/>
        </w:rPr>
        <w:t>Het aantal vreemdelingen:</w:t>
      </w:r>
    </w:p>
    <w:p w:rsidR="00BF4B91" w:rsidRDefault="00BF4B91" w:rsidP="007F2295">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F4B91" w:rsidRPr="00EF2AE2" w:rsidTr="00EF2AE2">
        <w:tc>
          <w:tcPr>
            <w:tcW w:w="3070" w:type="dxa"/>
          </w:tcPr>
          <w:p w:rsidR="00BF4B91" w:rsidRPr="00EF2AE2" w:rsidRDefault="00BF4B91" w:rsidP="00EF2AE2">
            <w:pPr>
              <w:spacing w:after="0" w:line="240" w:lineRule="auto"/>
            </w:pPr>
            <w:r w:rsidRPr="00EF2AE2">
              <w:t>2000</w:t>
            </w:r>
          </w:p>
        </w:tc>
        <w:tc>
          <w:tcPr>
            <w:tcW w:w="3071" w:type="dxa"/>
          </w:tcPr>
          <w:p w:rsidR="00BF4B91" w:rsidRPr="00EF2AE2" w:rsidRDefault="00BF4B91" w:rsidP="00EF2AE2">
            <w:pPr>
              <w:spacing w:after="0" w:line="240" w:lineRule="auto"/>
            </w:pPr>
            <w:r w:rsidRPr="00EF2AE2">
              <w:t>2010</w:t>
            </w:r>
          </w:p>
        </w:tc>
        <w:tc>
          <w:tcPr>
            <w:tcW w:w="3071" w:type="dxa"/>
          </w:tcPr>
          <w:p w:rsidR="00BF4B91" w:rsidRPr="00EF2AE2" w:rsidRDefault="00BF4B91" w:rsidP="00EF2AE2">
            <w:pPr>
              <w:spacing w:after="0" w:line="240" w:lineRule="auto"/>
            </w:pPr>
            <w:r w:rsidRPr="00EF2AE2">
              <w:t>verschil</w:t>
            </w:r>
          </w:p>
        </w:tc>
      </w:tr>
      <w:tr w:rsidR="00BF4B91" w:rsidRPr="00EF2AE2" w:rsidTr="00EF2AE2">
        <w:tc>
          <w:tcPr>
            <w:tcW w:w="3070" w:type="dxa"/>
          </w:tcPr>
          <w:p w:rsidR="00BF4B91" w:rsidRPr="00EF2AE2" w:rsidRDefault="00BF4B91" w:rsidP="00EF2AE2">
            <w:pPr>
              <w:spacing w:after="0" w:line="240" w:lineRule="auto"/>
            </w:pPr>
            <w:r w:rsidRPr="00EF2AE2">
              <w:t>65.557</w:t>
            </w:r>
          </w:p>
        </w:tc>
        <w:tc>
          <w:tcPr>
            <w:tcW w:w="3071" w:type="dxa"/>
          </w:tcPr>
          <w:p w:rsidR="00BF4B91" w:rsidRPr="00EF2AE2" w:rsidRDefault="00BF4B91" w:rsidP="00EF2AE2">
            <w:pPr>
              <w:spacing w:after="0" w:line="240" w:lineRule="auto"/>
            </w:pPr>
            <w:r w:rsidRPr="00EF2AE2">
              <w:t>81.017</w:t>
            </w:r>
          </w:p>
        </w:tc>
        <w:tc>
          <w:tcPr>
            <w:tcW w:w="3071" w:type="dxa"/>
          </w:tcPr>
          <w:p w:rsidR="00BF4B91" w:rsidRPr="00EF2AE2" w:rsidRDefault="00BF4B91" w:rsidP="00EF2AE2">
            <w:pPr>
              <w:spacing w:after="0" w:line="240" w:lineRule="auto"/>
            </w:pPr>
            <w:r w:rsidRPr="00EF2AE2">
              <w:t>+ 15.460</w:t>
            </w:r>
          </w:p>
        </w:tc>
      </w:tr>
    </w:tbl>
    <w:p w:rsidR="00BF4B91" w:rsidRDefault="00BF4B91" w:rsidP="007F2295">
      <w:pPr>
        <w:spacing w:after="0"/>
      </w:pPr>
    </w:p>
    <w:p w:rsidR="00BF4B91" w:rsidRPr="0090157C" w:rsidRDefault="00133E9D">
      <w:pPr>
        <w:rPr>
          <w:b/>
        </w:rPr>
      </w:pPr>
      <w:r>
        <w:rPr>
          <w:b/>
        </w:rPr>
        <w:t>Het a</w:t>
      </w:r>
      <w:r w:rsidR="00BF4B91" w:rsidRPr="0090157C">
        <w:rPr>
          <w:b/>
        </w:rPr>
        <w:t>antal nieuwe Belgen: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F4B91" w:rsidRPr="00EF2AE2" w:rsidTr="00EF2AE2">
        <w:tc>
          <w:tcPr>
            <w:tcW w:w="3070" w:type="dxa"/>
          </w:tcPr>
          <w:p w:rsidR="00BF4B91" w:rsidRPr="00EF2AE2" w:rsidRDefault="00BF4B91" w:rsidP="00EF2AE2">
            <w:pPr>
              <w:spacing w:after="0" w:line="240" w:lineRule="auto"/>
            </w:pPr>
            <w:r w:rsidRPr="00EF2AE2">
              <w:t>2000</w:t>
            </w:r>
          </w:p>
        </w:tc>
        <w:tc>
          <w:tcPr>
            <w:tcW w:w="3071" w:type="dxa"/>
          </w:tcPr>
          <w:p w:rsidR="00BF4B91" w:rsidRPr="00EF2AE2" w:rsidRDefault="00BF4B91" w:rsidP="00EF2AE2">
            <w:pPr>
              <w:spacing w:after="0" w:line="240" w:lineRule="auto"/>
            </w:pPr>
            <w:r w:rsidRPr="00EF2AE2">
              <w:t>2010</w:t>
            </w:r>
          </w:p>
        </w:tc>
        <w:tc>
          <w:tcPr>
            <w:tcW w:w="3071" w:type="dxa"/>
          </w:tcPr>
          <w:p w:rsidR="00BF4B91" w:rsidRPr="00EF2AE2" w:rsidRDefault="00BF4B91" w:rsidP="00EF2AE2">
            <w:pPr>
              <w:spacing w:after="0" w:line="240" w:lineRule="auto"/>
            </w:pPr>
            <w:r w:rsidRPr="00EF2AE2">
              <w:t>verschil</w:t>
            </w:r>
          </w:p>
        </w:tc>
      </w:tr>
      <w:tr w:rsidR="00BF4B91" w:rsidRPr="00EF2AE2" w:rsidTr="00EF2AE2">
        <w:tc>
          <w:tcPr>
            <w:tcW w:w="3070" w:type="dxa"/>
          </w:tcPr>
          <w:p w:rsidR="00BF4B91" w:rsidRPr="00EF2AE2" w:rsidRDefault="00BF4B91" w:rsidP="00EF2AE2">
            <w:pPr>
              <w:spacing w:after="0" w:line="240" w:lineRule="auto"/>
            </w:pPr>
            <w:r w:rsidRPr="00EF2AE2">
              <w:t>32.044</w:t>
            </w:r>
          </w:p>
        </w:tc>
        <w:tc>
          <w:tcPr>
            <w:tcW w:w="3071" w:type="dxa"/>
          </w:tcPr>
          <w:p w:rsidR="00BF4B91" w:rsidRPr="00EF2AE2" w:rsidRDefault="00BF4B91" w:rsidP="00EF2AE2">
            <w:pPr>
              <w:spacing w:after="0" w:line="240" w:lineRule="auto"/>
            </w:pPr>
            <w:r w:rsidRPr="00EF2AE2">
              <w:t>68.081</w:t>
            </w:r>
          </w:p>
        </w:tc>
        <w:tc>
          <w:tcPr>
            <w:tcW w:w="3071" w:type="dxa"/>
          </w:tcPr>
          <w:p w:rsidR="00BF4B91" w:rsidRPr="00EF2AE2" w:rsidRDefault="00BF4B91" w:rsidP="00EF2AE2">
            <w:pPr>
              <w:spacing w:after="0" w:line="240" w:lineRule="auto"/>
            </w:pPr>
            <w:r w:rsidRPr="00EF2AE2">
              <w:t>+ 36.037</w:t>
            </w:r>
          </w:p>
        </w:tc>
      </w:tr>
    </w:tbl>
    <w:p w:rsidR="00133E9D" w:rsidRDefault="00133E9D" w:rsidP="00133E9D">
      <w:pPr>
        <w:spacing w:after="0"/>
        <w:rPr>
          <w:b/>
        </w:rPr>
      </w:pPr>
    </w:p>
    <w:p w:rsidR="00BF4B91" w:rsidRPr="0090157C" w:rsidRDefault="00BF4B91">
      <w:pPr>
        <w:rPr>
          <w:b/>
        </w:rPr>
      </w:pPr>
      <w:r w:rsidRPr="0090157C">
        <w:rPr>
          <w:b/>
        </w:rPr>
        <w:t>Het totaal aantal allochtonen: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F4B91" w:rsidRPr="00EF2AE2" w:rsidTr="00EF2AE2">
        <w:tc>
          <w:tcPr>
            <w:tcW w:w="3070" w:type="dxa"/>
          </w:tcPr>
          <w:p w:rsidR="00BF4B91" w:rsidRPr="00EF2AE2" w:rsidRDefault="00BF4B91" w:rsidP="00EF2AE2">
            <w:pPr>
              <w:spacing w:after="0" w:line="240" w:lineRule="auto"/>
            </w:pPr>
            <w:r w:rsidRPr="00EF2AE2">
              <w:t>2000</w:t>
            </w:r>
          </w:p>
        </w:tc>
        <w:tc>
          <w:tcPr>
            <w:tcW w:w="3071" w:type="dxa"/>
          </w:tcPr>
          <w:p w:rsidR="00BF4B91" w:rsidRPr="00EF2AE2" w:rsidRDefault="00BF4B91" w:rsidP="00EF2AE2">
            <w:pPr>
              <w:spacing w:after="0" w:line="240" w:lineRule="auto"/>
            </w:pPr>
            <w:r w:rsidRPr="00EF2AE2">
              <w:t>2010</w:t>
            </w:r>
          </w:p>
        </w:tc>
        <w:tc>
          <w:tcPr>
            <w:tcW w:w="3071" w:type="dxa"/>
          </w:tcPr>
          <w:p w:rsidR="00BF4B91" w:rsidRPr="00EF2AE2" w:rsidRDefault="00BF4B91" w:rsidP="00EF2AE2">
            <w:pPr>
              <w:spacing w:after="0" w:line="240" w:lineRule="auto"/>
            </w:pPr>
            <w:r w:rsidRPr="00EF2AE2">
              <w:t>verschil</w:t>
            </w:r>
          </w:p>
        </w:tc>
      </w:tr>
      <w:tr w:rsidR="00BF4B91" w:rsidRPr="00EF2AE2" w:rsidTr="00EF2AE2">
        <w:tc>
          <w:tcPr>
            <w:tcW w:w="3070" w:type="dxa"/>
          </w:tcPr>
          <w:p w:rsidR="00BF4B91" w:rsidRPr="00EF2AE2" w:rsidRDefault="00BF4B91" w:rsidP="00EF2AE2">
            <w:pPr>
              <w:spacing w:after="0" w:line="240" w:lineRule="auto"/>
            </w:pPr>
            <w:r w:rsidRPr="00EF2AE2">
              <w:t>97.601</w:t>
            </w:r>
          </w:p>
        </w:tc>
        <w:tc>
          <w:tcPr>
            <w:tcW w:w="3071" w:type="dxa"/>
          </w:tcPr>
          <w:p w:rsidR="00BF4B91" w:rsidRPr="00EF2AE2" w:rsidRDefault="00BF4B91" w:rsidP="00EF2AE2">
            <w:pPr>
              <w:spacing w:after="0" w:line="240" w:lineRule="auto"/>
            </w:pPr>
            <w:r w:rsidRPr="00EF2AE2">
              <w:t>149.098</w:t>
            </w:r>
          </w:p>
        </w:tc>
        <w:tc>
          <w:tcPr>
            <w:tcW w:w="3071" w:type="dxa"/>
          </w:tcPr>
          <w:p w:rsidR="00BF4B91" w:rsidRPr="00EF2AE2" w:rsidRDefault="00BF4B91" w:rsidP="00EF2AE2">
            <w:pPr>
              <w:spacing w:after="0" w:line="240" w:lineRule="auto"/>
            </w:pPr>
            <w:r w:rsidRPr="00EF2AE2">
              <w:t>+ 51.497</w:t>
            </w:r>
          </w:p>
        </w:tc>
      </w:tr>
    </w:tbl>
    <w:p w:rsidR="00BF4B91" w:rsidRDefault="00BF4B91" w:rsidP="00133E9D">
      <w:pPr>
        <w:spacing w:after="0"/>
      </w:pPr>
    </w:p>
    <w:p w:rsidR="00BF4B91" w:rsidRDefault="00BF4B91">
      <w:r>
        <w:t>De kaap van de 150.000 allochtonen (= 31% van de totale Antwerpse bevolking) zal dit jaar ruim overschreden worden. Deze cijfers houden geen rekening met de laatste algemene regularisatie van 15/09/09 tot 15/12/09 (6.500 dossiers ingediend, goed voor ongeveer 10.400 personen). Bovenvermelde cijfers houden ook geen rekening met de vreemdelingen in het wachtregister, zijnde ongeveer 10.000 personen. Verwacht wordt dat deze groep het komende jaar individueel geregulariseerd worden.</w:t>
      </w:r>
    </w:p>
    <w:p w:rsidR="00BF4B91" w:rsidRDefault="00BF4B91"/>
    <w:p w:rsidR="00BF4B91" w:rsidRDefault="00BF4B91" w:rsidP="00133E9D">
      <w:pPr>
        <w:numPr>
          <w:ilvl w:val="0"/>
          <w:numId w:val="2"/>
        </w:numPr>
        <w:rPr>
          <w:b/>
          <w:u w:val="single"/>
        </w:rPr>
      </w:pPr>
      <w:r w:rsidRPr="00D74D9A">
        <w:rPr>
          <w:b/>
          <w:u w:val="single"/>
        </w:rPr>
        <w:t>De leeftijdsevolutie</w:t>
      </w:r>
    </w:p>
    <w:p w:rsidR="00133E9D" w:rsidRPr="0035126B" w:rsidRDefault="00E40235" w:rsidP="00E40235">
      <w:pPr>
        <w:spacing w:after="0"/>
        <w:rPr>
          <w:b/>
        </w:rPr>
      </w:pPr>
      <w:r w:rsidRPr="0035126B">
        <w:rPr>
          <w:b/>
        </w:rPr>
        <w:t>Het aantal 65-plussers:</w:t>
      </w:r>
    </w:p>
    <w:p w:rsidR="00E40235" w:rsidRDefault="00E40235" w:rsidP="00E40235">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E40235" w:rsidTr="00C12706">
        <w:tc>
          <w:tcPr>
            <w:tcW w:w="3070" w:type="dxa"/>
          </w:tcPr>
          <w:p w:rsidR="00E40235" w:rsidRPr="00C12706" w:rsidRDefault="00E40235" w:rsidP="00C12706">
            <w:pPr>
              <w:spacing w:after="0"/>
              <w:rPr>
                <w:sz w:val="20"/>
                <w:szCs w:val="20"/>
              </w:rPr>
            </w:pPr>
            <w:r w:rsidRPr="00C12706">
              <w:rPr>
                <w:sz w:val="20"/>
                <w:szCs w:val="20"/>
              </w:rPr>
              <w:t>2000</w:t>
            </w:r>
          </w:p>
        </w:tc>
        <w:tc>
          <w:tcPr>
            <w:tcW w:w="3071" w:type="dxa"/>
          </w:tcPr>
          <w:p w:rsidR="00E40235" w:rsidRPr="00C12706" w:rsidRDefault="00E40235" w:rsidP="00C12706">
            <w:pPr>
              <w:spacing w:after="0"/>
              <w:rPr>
                <w:sz w:val="20"/>
                <w:szCs w:val="20"/>
              </w:rPr>
            </w:pPr>
            <w:r w:rsidRPr="00C12706">
              <w:rPr>
                <w:sz w:val="20"/>
                <w:szCs w:val="20"/>
              </w:rPr>
              <w:t>2010</w:t>
            </w:r>
          </w:p>
        </w:tc>
        <w:tc>
          <w:tcPr>
            <w:tcW w:w="3071" w:type="dxa"/>
          </w:tcPr>
          <w:p w:rsidR="00E40235" w:rsidRPr="00C12706" w:rsidRDefault="00E40235" w:rsidP="00C12706">
            <w:pPr>
              <w:spacing w:after="0"/>
              <w:rPr>
                <w:sz w:val="20"/>
                <w:szCs w:val="20"/>
              </w:rPr>
            </w:pPr>
            <w:r w:rsidRPr="00C12706">
              <w:rPr>
                <w:sz w:val="20"/>
                <w:szCs w:val="20"/>
              </w:rPr>
              <w:t>verschil</w:t>
            </w:r>
          </w:p>
        </w:tc>
      </w:tr>
      <w:tr w:rsidR="00E40235" w:rsidTr="00C12706">
        <w:tc>
          <w:tcPr>
            <w:tcW w:w="3070" w:type="dxa"/>
          </w:tcPr>
          <w:p w:rsidR="00E40235" w:rsidRPr="00C12706" w:rsidRDefault="00E40235" w:rsidP="00C12706">
            <w:pPr>
              <w:spacing w:after="0"/>
              <w:rPr>
                <w:sz w:val="20"/>
                <w:szCs w:val="20"/>
              </w:rPr>
            </w:pPr>
            <w:r w:rsidRPr="00C12706">
              <w:rPr>
                <w:sz w:val="20"/>
                <w:szCs w:val="20"/>
              </w:rPr>
              <w:t>90.180 (19,9%</w:t>
            </w:r>
            <w:r w:rsidR="00BC287D">
              <w:rPr>
                <w:sz w:val="20"/>
                <w:szCs w:val="20"/>
              </w:rPr>
              <w:t xml:space="preserve">  v. tot. bevolking</w:t>
            </w:r>
            <w:r w:rsidRPr="00C12706">
              <w:rPr>
                <w:sz w:val="20"/>
                <w:szCs w:val="20"/>
              </w:rPr>
              <w:t>)</w:t>
            </w:r>
          </w:p>
        </w:tc>
        <w:tc>
          <w:tcPr>
            <w:tcW w:w="3071" w:type="dxa"/>
          </w:tcPr>
          <w:p w:rsidR="00E40235" w:rsidRPr="00C12706" w:rsidRDefault="00E40235" w:rsidP="00C12706">
            <w:pPr>
              <w:spacing w:after="0"/>
              <w:rPr>
                <w:sz w:val="20"/>
                <w:szCs w:val="20"/>
              </w:rPr>
            </w:pPr>
            <w:r w:rsidRPr="00C12706">
              <w:rPr>
                <w:sz w:val="20"/>
                <w:szCs w:val="20"/>
              </w:rPr>
              <w:t>87.254 (18%)</w:t>
            </w:r>
          </w:p>
        </w:tc>
        <w:tc>
          <w:tcPr>
            <w:tcW w:w="3071" w:type="dxa"/>
          </w:tcPr>
          <w:p w:rsidR="00E40235" w:rsidRPr="00C12706" w:rsidRDefault="00E40235" w:rsidP="00C12706">
            <w:pPr>
              <w:spacing w:after="0"/>
              <w:rPr>
                <w:sz w:val="20"/>
                <w:szCs w:val="20"/>
              </w:rPr>
            </w:pPr>
            <w:r w:rsidRPr="00C12706">
              <w:rPr>
                <w:sz w:val="20"/>
                <w:szCs w:val="20"/>
              </w:rPr>
              <w:t>- 2926 (- 1,9%</w:t>
            </w:r>
            <w:r w:rsidR="00BC287D">
              <w:rPr>
                <w:sz w:val="20"/>
                <w:szCs w:val="20"/>
              </w:rPr>
              <w:t xml:space="preserve"> op tot. bevolking</w:t>
            </w:r>
            <w:r w:rsidRPr="00C12706">
              <w:rPr>
                <w:sz w:val="20"/>
                <w:szCs w:val="20"/>
              </w:rPr>
              <w:t>)</w:t>
            </w:r>
          </w:p>
        </w:tc>
      </w:tr>
    </w:tbl>
    <w:p w:rsidR="00E40235" w:rsidRDefault="00E40235" w:rsidP="00E40235">
      <w:pPr>
        <w:spacing w:after="0"/>
      </w:pPr>
    </w:p>
    <w:p w:rsidR="00C33CED" w:rsidRDefault="00C33CED" w:rsidP="00E40235">
      <w:pPr>
        <w:spacing w:after="0"/>
      </w:pPr>
      <w:r>
        <w:t>Cijfers over leeftijd op basis van etniciteit worden niet systematisch gepubliceerd. Dit is een hiaat in de statistische informatie van de stad Antwerpen.  Uit de cijfers in het laatste jaarverslag van burgerlijke stand en bevolking (2008) kan men wel opmaken dat het aandeel 65-plussers bij de Belgische bevolking</w:t>
      </w:r>
      <w:r w:rsidR="00810CEC">
        <w:t xml:space="preserve"> 20,42% bedraagt, daar waar het aantal 65-plussers bij de vreemde bevolking slechts 6,28% bedraagt.</w:t>
      </w:r>
    </w:p>
    <w:p w:rsidR="00C33CED" w:rsidRDefault="00C33CED" w:rsidP="00E40235">
      <w:pPr>
        <w:spacing w:after="0"/>
      </w:pPr>
    </w:p>
    <w:p w:rsidR="00E40235" w:rsidRPr="0035126B" w:rsidRDefault="00E40235" w:rsidP="00E40235">
      <w:pPr>
        <w:spacing w:after="0"/>
        <w:rPr>
          <w:b/>
        </w:rPr>
      </w:pPr>
      <w:r w:rsidRPr="0035126B">
        <w:rPr>
          <w:b/>
        </w:rPr>
        <w:t>Het aantal 80-plussers:</w:t>
      </w:r>
    </w:p>
    <w:p w:rsidR="00E40235" w:rsidRDefault="00E40235" w:rsidP="00E40235">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E40235" w:rsidTr="00C12706">
        <w:tc>
          <w:tcPr>
            <w:tcW w:w="3070" w:type="dxa"/>
          </w:tcPr>
          <w:p w:rsidR="00E40235" w:rsidRPr="00C12706" w:rsidRDefault="00E40235" w:rsidP="00C12706">
            <w:pPr>
              <w:spacing w:after="0"/>
              <w:rPr>
                <w:sz w:val="20"/>
                <w:szCs w:val="20"/>
              </w:rPr>
            </w:pPr>
            <w:r w:rsidRPr="00C12706">
              <w:rPr>
                <w:sz w:val="20"/>
                <w:szCs w:val="20"/>
              </w:rPr>
              <w:t>2000</w:t>
            </w:r>
          </w:p>
        </w:tc>
        <w:tc>
          <w:tcPr>
            <w:tcW w:w="3071" w:type="dxa"/>
          </w:tcPr>
          <w:p w:rsidR="00E40235" w:rsidRPr="00C12706" w:rsidRDefault="00E40235" w:rsidP="00C12706">
            <w:pPr>
              <w:spacing w:after="0"/>
              <w:rPr>
                <w:sz w:val="20"/>
                <w:szCs w:val="20"/>
              </w:rPr>
            </w:pPr>
            <w:r w:rsidRPr="00C12706">
              <w:rPr>
                <w:sz w:val="20"/>
                <w:szCs w:val="20"/>
              </w:rPr>
              <w:t>2010</w:t>
            </w:r>
          </w:p>
        </w:tc>
        <w:tc>
          <w:tcPr>
            <w:tcW w:w="3071" w:type="dxa"/>
          </w:tcPr>
          <w:p w:rsidR="00E40235" w:rsidRPr="00C12706" w:rsidRDefault="00E40235" w:rsidP="00C12706">
            <w:pPr>
              <w:spacing w:after="0"/>
              <w:rPr>
                <w:sz w:val="20"/>
                <w:szCs w:val="20"/>
              </w:rPr>
            </w:pPr>
            <w:r w:rsidRPr="00C12706">
              <w:rPr>
                <w:sz w:val="20"/>
                <w:szCs w:val="20"/>
              </w:rPr>
              <w:t>verschil</w:t>
            </w:r>
          </w:p>
        </w:tc>
      </w:tr>
      <w:tr w:rsidR="00E40235" w:rsidTr="00C12706">
        <w:tc>
          <w:tcPr>
            <w:tcW w:w="3070" w:type="dxa"/>
          </w:tcPr>
          <w:p w:rsidR="00E40235" w:rsidRPr="00C12706" w:rsidRDefault="00E40235" w:rsidP="00BC287D">
            <w:pPr>
              <w:spacing w:after="0"/>
              <w:rPr>
                <w:sz w:val="20"/>
                <w:szCs w:val="20"/>
              </w:rPr>
            </w:pPr>
            <w:r w:rsidRPr="00C12706">
              <w:rPr>
                <w:sz w:val="20"/>
                <w:szCs w:val="20"/>
              </w:rPr>
              <w:t>20.681 (4,5%</w:t>
            </w:r>
            <w:r w:rsidR="00BC287D">
              <w:rPr>
                <w:sz w:val="20"/>
                <w:szCs w:val="20"/>
              </w:rPr>
              <w:t xml:space="preserve"> v. tot. bevolking)</w:t>
            </w:r>
            <w:r w:rsidRPr="00C12706">
              <w:rPr>
                <w:sz w:val="20"/>
                <w:szCs w:val="20"/>
              </w:rPr>
              <w:t>)</w:t>
            </w:r>
          </w:p>
        </w:tc>
        <w:tc>
          <w:tcPr>
            <w:tcW w:w="3071" w:type="dxa"/>
          </w:tcPr>
          <w:p w:rsidR="00E40235" w:rsidRPr="00C12706" w:rsidRDefault="00E40235" w:rsidP="00C12706">
            <w:pPr>
              <w:spacing w:after="0"/>
              <w:rPr>
                <w:sz w:val="20"/>
                <w:szCs w:val="20"/>
              </w:rPr>
            </w:pPr>
            <w:r w:rsidRPr="00C12706">
              <w:rPr>
                <w:sz w:val="20"/>
                <w:szCs w:val="20"/>
              </w:rPr>
              <w:t>27.334 (5,7%)</w:t>
            </w:r>
          </w:p>
        </w:tc>
        <w:tc>
          <w:tcPr>
            <w:tcW w:w="3071" w:type="dxa"/>
          </w:tcPr>
          <w:p w:rsidR="00E40235" w:rsidRPr="00C12706" w:rsidRDefault="00E40235" w:rsidP="00C12706">
            <w:pPr>
              <w:spacing w:after="0"/>
              <w:rPr>
                <w:sz w:val="20"/>
                <w:szCs w:val="20"/>
              </w:rPr>
            </w:pPr>
            <w:r w:rsidRPr="00C12706">
              <w:rPr>
                <w:sz w:val="20"/>
                <w:szCs w:val="20"/>
              </w:rPr>
              <w:t>+ 6.653 (+ 1,2%</w:t>
            </w:r>
            <w:r w:rsidR="00BC287D">
              <w:rPr>
                <w:sz w:val="20"/>
                <w:szCs w:val="20"/>
              </w:rPr>
              <w:t xml:space="preserve"> op tot. bevolking</w:t>
            </w:r>
            <w:r w:rsidRPr="00C12706">
              <w:rPr>
                <w:sz w:val="20"/>
                <w:szCs w:val="20"/>
              </w:rPr>
              <w:t>)</w:t>
            </w:r>
          </w:p>
        </w:tc>
      </w:tr>
    </w:tbl>
    <w:p w:rsidR="00E40235" w:rsidRDefault="00E40235" w:rsidP="00E40235">
      <w:pPr>
        <w:spacing w:after="0"/>
      </w:pPr>
    </w:p>
    <w:p w:rsidR="00D13AA9" w:rsidRDefault="00D13AA9" w:rsidP="00E40235">
      <w:pPr>
        <w:spacing w:after="0"/>
      </w:pPr>
      <w:r>
        <w:t xml:space="preserve">De vergrijzing is het gevolg van de langere levensverwachting. De groep 80-plussers is de voorbije tien jaar </w:t>
      </w:r>
      <w:r w:rsidR="00810CEC">
        <w:t xml:space="preserve">inderdaad </w:t>
      </w:r>
      <w:r>
        <w:t xml:space="preserve">gestegen. Alles wijst er op dat deze situatie </w:t>
      </w:r>
      <w:r w:rsidR="00810CEC">
        <w:t xml:space="preserve">ook in de toekomst </w:t>
      </w:r>
      <w:r>
        <w:t>aanhoudt. Bij deze groep is 62% alleenstaand.</w:t>
      </w:r>
    </w:p>
    <w:p w:rsidR="0035126B" w:rsidRPr="0035126B" w:rsidRDefault="0035126B" w:rsidP="00E40235">
      <w:pPr>
        <w:spacing w:after="0"/>
        <w:rPr>
          <w:b/>
        </w:rPr>
      </w:pPr>
      <w:r w:rsidRPr="0035126B">
        <w:rPr>
          <w:b/>
        </w:rPr>
        <w:lastRenderedPageBreak/>
        <w:t>Het aantal -18-jarigen:</w:t>
      </w:r>
    </w:p>
    <w:p w:rsidR="0035126B" w:rsidRDefault="0035126B" w:rsidP="00E40235">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35126B" w:rsidTr="00C12706">
        <w:tc>
          <w:tcPr>
            <w:tcW w:w="3070" w:type="dxa"/>
          </w:tcPr>
          <w:p w:rsidR="0035126B" w:rsidRPr="00C12706" w:rsidRDefault="0035126B" w:rsidP="00C12706">
            <w:pPr>
              <w:spacing w:after="0"/>
              <w:rPr>
                <w:sz w:val="20"/>
                <w:szCs w:val="20"/>
              </w:rPr>
            </w:pPr>
            <w:r w:rsidRPr="00C12706">
              <w:rPr>
                <w:sz w:val="20"/>
                <w:szCs w:val="20"/>
              </w:rPr>
              <w:t>2000</w:t>
            </w:r>
          </w:p>
        </w:tc>
        <w:tc>
          <w:tcPr>
            <w:tcW w:w="3071" w:type="dxa"/>
          </w:tcPr>
          <w:p w:rsidR="0035126B" w:rsidRPr="00C12706" w:rsidRDefault="0035126B" w:rsidP="00C12706">
            <w:pPr>
              <w:spacing w:after="0"/>
              <w:rPr>
                <w:sz w:val="20"/>
                <w:szCs w:val="20"/>
              </w:rPr>
            </w:pPr>
            <w:r w:rsidRPr="00C12706">
              <w:rPr>
                <w:sz w:val="20"/>
                <w:szCs w:val="20"/>
              </w:rPr>
              <w:t>2010</w:t>
            </w:r>
          </w:p>
        </w:tc>
        <w:tc>
          <w:tcPr>
            <w:tcW w:w="3071" w:type="dxa"/>
          </w:tcPr>
          <w:p w:rsidR="0035126B" w:rsidRPr="00C12706" w:rsidRDefault="0035126B" w:rsidP="00C12706">
            <w:pPr>
              <w:spacing w:after="0"/>
              <w:rPr>
                <w:sz w:val="20"/>
                <w:szCs w:val="20"/>
              </w:rPr>
            </w:pPr>
            <w:r w:rsidRPr="00C12706">
              <w:rPr>
                <w:sz w:val="20"/>
                <w:szCs w:val="20"/>
              </w:rPr>
              <w:t>verschil</w:t>
            </w:r>
          </w:p>
        </w:tc>
      </w:tr>
      <w:tr w:rsidR="0035126B" w:rsidTr="00C12706">
        <w:tc>
          <w:tcPr>
            <w:tcW w:w="3070" w:type="dxa"/>
          </w:tcPr>
          <w:p w:rsidR="0035126B" w:rsidRPr="00C12706" w:rsidRDefault="0035126B" w:rsidP="00C12706">
            <w:pPr>
              <w:spacing w:after="0"/>
              <w:rPr>
                <w:sz w:val="20"/>
                <w:szCs w:val="20"/>
              </w:rPr>
            </w:pPr>
            <w:r w:rsidRPr="00C12706">
              <w:rPr>
                <w:sz w:val="20"/>
                <w:szCs w:val="20"/>
              </w:rPr>
              <w:t>89.712 (19,8%)</w:t>
            </w:r>
          </w:p>
        </w:tc>
        <w:tc>
          <w:tcPr>
            <w:tcW w:w="3071" w:type="dxa"/>
          </w:tcPr>
          <w:p w:rsidR="0035126B" w:rsidRPr="00C12706" w:rsidRDefault="0035126B" w:rsidP="00C12706">
            <w:pPr>
              <w:spacing w:after="0"/>
              <w:rPr>
                <w:sz w:val="20"/>
                <w:szCs w:val="20"/>
              </w:rPr>
            </w:pPr>
            <w:r w:rsidRPr="00C12706">
              <w:rPr>
                <w:sz w:val="20"/>
                <w:szCs w:val="20"/>
              </w:rPr>
              <w:t>100.796 (20,8%)</w:t>
            </w:r>
          </w:p>
        </w:tc>
        <w:tc>
          <w:tcPr>
            <w:tcW w:w="3071" w:type="dxa"/>
          </w:tcPr>
          <w:p w:rsidR="0035126B" w:rsidRPr="00C12706" w:rsidRDefault="0035126B" w:rsidP="00C12706">
            <w:pPr>
              <w:spacing w:after="0"/>
              <w:rPr>
                <w:sz w:val="20"/>
                <w:szCs w:val="20"/>
              </w:rPr>
            </w:pPr>
            <w:r w:rsidRPr="00C12706">
              <w:rPr>
                <w:sz w:val="20"/>
                <w:szCs w:val="20"/>
              </w:rPr>
              <w:t>+ 11.084 (+ 1%</w:t>
            </w:r>
            <w:r w:rsidR="00BC287D">
              <w:rPr>
                <w:sz w:val="20"/>
                <w:szCs w:val="20"/>
              </w:rPr>
              <w:t xml:space="preserve"> op tot. bevolking</w:t>
            </w:r>
            <w:r w:rsidRPr="00C12706">
              <w:rPr>
                <w:sz w:val="20"/>
                <w:szCs w:val="20"/>
              </w:rPr>
              <w:t>)</w:t>
            </w:r>
          </w:p>
        </w:tc>
      </w:tr>
    </w:tbl>
    <w:p w:rsidR="0035126B" w:rsidRDefault="0035126B" w:rsidP="00E40235">
      <w:pPr>
        <w:spacing w:after="0"/>
      </w:pPr>
    </w:p>
    <w:p w:rsidR="00D13AA9" w:rsidRDefault="00C33CED" w:rsidP="00E40235">
      <w:pPr>
        <w:spacing w:after="0"/>
      </w:pPr>
      <w:r>
        <w:t>Sinds 2003 kent</w:t>
      </w:r>
      <w:r w:rsidR="00DB1D92">
        <w:t xml:space="preserve"> Antwerpen opnieuw een geboorteoverschot. Vermits het geboortecijfer bij de vreemdelingen </w:t>
      </w:r>
      <w:r>
        <w:t xml:space="preserve">nog steeds </w:t>
      </w:r>
      <w:r w:rsidR="00DB1D92">
        <w:t xml:space="preserve">hoger is dan bij de Belgische bevolking is dit geboorteoverschot in grote mate toe te schrijven aan de allochtone bevolking. Dit gegeven klinkt </w:t>
      </w:r>
      <w:r w:rsidR="00D13AA9">
        <w:t xml:space="preserve">misschien </w:t>
      </w:r>
      <w:r w:rsidR="00DB1D92">
        <w:t xml:space="preserve">positief voor Antwerpen, maar versnelt </w:t>
      </w:r>
      <w:r w:rsidR="00D13AA9">
        <w:t xml:space="preserve">wel </w:t>
      </w:r>
      <w:r w:rsidR="00DB1D92">
        <w:t>de verkleuring van onze stad. Hoewel het cijfermateriaal hierover schaars is, verklaar</w:t>
      </w:r>
      <w:r w:rsidR="00D13AA9">
        <w:t>de</w:t>
      </w:r>
      <w:r w:rsidR="00DB1D92">
        <w:t xml:space="preserve"> de schepen voor Sociale Zaken dat “over tien jaar één op drie Antwerpenaren jonger dan achttien en één op de drie ouder dan vijfenzestig is. Twee van de drie jongeren zijn van allochtone origine. We worden geconfronteerd met verjonging en verkleuring en tegelijk met vergrijzing en verwitting” (Lokaal, 16 mei 2009). </w:t>
      </w:r>
    </w:p>
    <w:p w:rsidR="00D13AA9" w:rsidRDefault="00D13AA9" w:rsidP="00E40235">
      <w:pPr>
        <w:spacing w:after="0"/>
      </w:pPr>
    </w:p>
    <w:p w:rsidR="00E40235" w:rsidRPr="00807071" w:rsidRDefault="00DB1D92" w:rsidP="00E40235">
      <w:pPr>
        <w:spacing w:after="0"/>
      </w:pPr>
      <w:r>
        <w:t xml:space="preserve">De verkleuring is </w:t>
      </w:r>
      <w:r w:rsidR="00D13AA9">
        <w:t xml:space="preserve">ook </w:t>
      </w:r>
      <w:r>
        <w:t>duidelijk merkbaar in het Antwerps onderwijs alwaar nu al</w:t>
      </w:r>
      <w:r w:rsidR="00D13AA9">
        <w:t xml:space="preserve"> 58,8% van de leerlingen in het basisonderwijs thuis geen Nederlands spreekt.</w:t>
      </w:r>
      <w:r w:rsidR="00810CEC">
        <w:t xml:space="preserve"> </w:t>
      </w:r>
      <w:r w:rsidR="00807071" w:rsidRPr="00807071">
        <w:t xml:space="preserve">Het Antwerps stedelijk basisonderwijs islamiseert </w:t>
      </w:r>
      <w:r w:rsidR="00807071">
        <w:t xml:space="preserve">bovendien </w:t>
      </w:r>
      <w:r w:rsidR="00807071" w:rsidRPr="00807071">
        <w:t xml:space="preserve">in een verbazend snel tempo. </w:t>
      </w:r>
      <w:r w:rsidR="00807071">
        <w:t xml:space="preserve">Dat bleek uit het antwoord van de schepen voor Onderwijs op een vraag van het Vlaams Belang. </w:t>
      </w:r>
      <w:r w:rsidR="00810CEC" w:rsidRPr="00810CEC">
        <w:t xml:space="preserve">Niet minder dan 40% van de leerlingen die in het schooljaar 2009-2010 school lopen in het Antwerps stedelijk basisonderwijs zijn </w:t>
      </w:r>
      <w:r w:rsidR="00810CEC">
        <w:t xml:space="preserve"> </w:t>
      </w:r>
      <w:r w:rsidR="00810CEC" w:rsidRPr="00810CEC">
        <w:t>moslim.</w:t>
      </w:r>
      <w:r w:rsidR="00810CEC">
        <w:t xml:space="preserve"> </w:t>
      </w:r>
      <w:r w:rsidR="00810CEC" w:rsidRPr="00810CEC">
        <w:t>In bijna één derde van de basisscholen van het stedelijk onderwijs – 20 van de 66 scholen – is een meerderheid van de leerlingen moslim. In sommige basisscholen zijn niet-moslims nog op één hand te tellen.</w:t>
      </w:r>
      <w:r w:rsidR="00807071">
        <w:t xml:space="preserve"> </w:t>
      </w:r>
      <w:r w:rsidR="00807071" w:rsidRPr="00807071">
        <w:t>Op nauwelijks twee jaar tijd is het aantal leerlingen dat islamonderricht volgt met een vijfde toegenomen</w:t>
      </w:r>
      <w:r w:rsidR="00807071">
        <w:t>. Aan dat tempo zal in 2012 een meerderheid van de leerlingen in het basisonderwijs moslim zijn.</w:t>
      </w:r>
    </w:p>
    <w:p w:rsidR="0035126B" w:rsidRDefault="0035126B" w:rsidP="00E40235">
      <w:pPr>
        <w:spacing w:after="0"/>
      </w:pPr>
    </w:p>
    <w:p w:rsidR="00807071" w:rsidRPr="00E40235" w:rsidRDefault="00807071" w:rsidP="00E40235">
      <w:pPr>
        <w:spacing w:after="0"/>
      </w:pPr>
    </w:p>
    <w:p w:rsidR="00BF4B91" w:rsidRPr="00D74D9A" w:rsidRDefault="00BF4B91" w:rsidP="00810CEC">
      <w:pPr>
        <w:numPr>
          <w:ilvl w:val="0"/>
          <w:numId w:val="2"/>
        </w:numPr>
        <w:rPr>
          <w:b/>
          <w:u w:val="single"/>
        </w:rPr>
      </w:pPr>
      <w:r>
        <w:rPr>
          <w:b/>
          <w:u w:val="single"/>
        </w:rPr>
        <w:t>De economische evolutie</w:t>
      </w:r>
    </w:p>
    <w:p w:rsidR="00BF4B91" w:rsidRPr="0090157C" w:rsidRDefault="00BF4B91">
      <w:pPr>
        <w:rPr>
          <w:b/>
        </w:rPr>
      </w:pPr>
      <w:r w:rsidRPr="0090157C">
        <w:rPr>
          <w:b/>
        </w:rPr>
        <w:t>Het aantal werklozen: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F4B91" w:rsidRPr="00EF2AE2" w:rsidTr="00EF2AE2">
        <w:tc>
          <w:tcPr>
            <w:tcW w:w="3070" w:type="dxa"/>
          </w:tcPr>
          <w:p w:rsidR="00BF4B91" w:rsidRPr="00EF2AE2" w:rsidRDefault="00BF4B91" w:rsidP="00EF2AE2">
            <w:pPr>
              <w:spacing w:after="0" w:line="240" w:lineRule="auto"/>
            </w:pPr>
            <w:r w:rsidRPr="00EF2AE2">
              <w:t>2000 (cijfers WNE, nov. ’00)</w:t>
            </w:r>
          </w:p>
        </w:tc>
        <w:tc>
          <w:tcPr>
            <w:tcW w:w="3071" w:type="dxa"/>
          </w:tcPr>
          <w:p w:rsidR="00BF4B91" w:rsidRPr="00EF2AE2" w:rsidRDefault="00BF4B91" w:rsidP="00EF2AE2">
            <w:pPr>
              <w:spacing w:after="0" w:line="240" w:lineRule="auto"/>
            </w:pPr>
            <w:r w:rsidRPr="00EF2AE2">
              <w:t>2010 (cijfers WNE, nov. ’09)</w:t>
            </w:r>
          </w:p>
        </w:tc>
        <w:tc>
          <w:tcPr>
            <w:tcW w:w="3071" w:type="dxa"/>
          </w:tcPr>
          <w:p w:rsidR="00BF4B91" w:rsidRPr="00EF2AE2" w:rsidRDefault="00BF4B91" w:rsidP="00EF2AE2">
            <w:pPr>
              <w:spacing w:after="0" w:line="240" w:lineRule="auto"/>
            </w:pPr>
            <w:r w:rsidRPr="00EF2AE2">
              <w:t>verschil</w:t>
            </w:r>
          </w:p>
        </w:tc>
      </w:tr>
      <w:tr w:rsidR="00BF4B91" w:rsidRPr="00EF2AE2" w:rsidTr="00EF2AE2">
        <w:tc>
          <w:tcPr>
            <w:tcW w:w="3070" w:type="dxa"/>
          </w:tcPr>
          <w:p w:rsidR="00BF4B91" w:rsidRPr="00EF2AE2" w:rsidRDefault="00BF4B91" w:rsidP="00EF2AE2">
            <w:pPr>
              <w:spacing w:after="0" w:line="240" w:lineRule="auto"/>
            </w:pPr>
            <w:r w:rsidRPr="00EF2AE2">
              <w:t>22.457</w:t>
            </w:r>
          </w:p>
        </w:tc>
        <w:tc>
          <w:tcPr>
            <w:tcW w:w="3071" w:type="dxa"/>
          </w:tcPr>
          <w:p w:rsidR="00BF4B91" w:rsidRPr="00EF2AE2" w:rsidRDefault="00BF4B91" w:rsidP="00EF2AE2">
            <w:pPr>
              <w:spacing w:after="0" w:line="240" w:lineRule="auto"/>
            </w:pPr>
            <w:r w:rsidRPr="00EF2AE2">
              <w:t>30.774</w:t>
            </w:r>
          </w:p>
        </w:tc>
        <w:tc>
          <w:tcPr>
            <w:tcW w:w="3071" w:type="dxa"/>
          </w:tcPr>
          <w:p w:rsidR="00BF4B91" w:rsidRPr="00EF2AE2" w:rsidRDefault="00BF4B91" w:rsidP="00EF2AE2">
            <w:pPr>
              <w:spacing w:after="0" w:line="240" w:lineRule="auto"/>
            </w:pPr>
            <w:r w:rsidRPr="00EF2AE2">
              <w:t>+ 8.317</w:t>
            </w:r>
          </w:p>
        </w:tc>
      </w:tr>
    </w:tbl>
    <w:p w:rsidR="00BF4B91" w:rsidRDefault="00BF4B91" w:rsidP="00810CEC">
      <w:pPr>
        <w:spacing w:after="0"/>
      </w:pPr>
      <w:r>
        <w:t xml:space="preserve"> </w:t>
      </w:r>
    </w:p>
    <w:p w:rsidR="00BF4B91" w:rsidRPr="0090157C" w:rsidRDefault="00BF4B91">
      <w:pPr>
        <w:rPr>
          <w:b/>
        </w:rPr>
      </w:pPr>
      <w:r w:rsidRPr="0090157C">
        <w:rPr>
          <w:b/>
        </w:rPr>
        <w:t>De werkloosheidsgraad: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F4B91" w:rsidRPr="00EF2AE2" w:rsidTr="00EF2AE2">
        <w:tc>
          <w:tcPr>
            <w:tcW w:w="3070" w:type="dxa"/>
          </w:tcPr>
          <w:p w:rsidR="00BF4B91" w:rsidRPr="00EF2AE2" w:rsidRDefault="00BF4B91" w:rsidP="00EF2AE2">
            <w:pPr>
              <w:spacing w:after="0" w:line="240" w:lineRule="auto"/>
            </w:pPr>
            <w:r w:rsidRPr="00EF2AE2">
              <w:t>2000 (cijfers WNE, nov. ’00)</w:t>
            </w:r>
          </w:p>
        </w:tc>
        <w:tc>
          <w:tcPr>
            <w:tcW w:w="3071" w:type="dxa"/>
          </w:tcPr>
          <w:p w:rsidR="00BF4B91" w:rsidRPr="00EF2AE2" w:rsidRDefault="00BF4B91" w:rsidP="00EF2AE2">
            <w:pPr>
              <w:spacing w:after="0" w:line="240" w:lineRule="auto"/>
            </w:pPr>
            <w:r w:rsidRPr="00EF2AE2">
              <w:t>2010 (cijfers WNE, nov. ’09)</w:t>
            </w:r>
          </w:p>
        </w:tc>
        <w:tc>
          <w:tcPr>
            <w:tcW w:w="3071" w:type="dxa"/>
          </w:tcPr>
          <w:p w:rsidR="00BF4B91" w:rsidRPr="00EF2AE2" w:rsidRDefault="00BF4B91" w:rsidP="00EF2AE2">
            <w:pPr>
              <w:spacing w:after="0" w:line="240" w:lineRule="auto"/>
            </w:pPr>
            <w:r w:rsidRPr="00EF2AE2">
              <w:t>verschil</w:t>
            </w:r>
          </w:p>
        </w:tc>
      </w:tr>
      <w:tr w:rsidR="00BF4B91" w:rsidRPr="00EF2AE2" w:rsidTr="00EF2AE2">
        <w:tc>
          <w:tcPr>
            <w:tcW w:w="3070" w:type="dxa"/>
          </w:tcPr>
          <w:p w:rsidR="00BF4B91" w:rsidRPr="00EF2AE2" w:rsidRDefault="00BF4B91" w:rsidP="00EF2AE2">
            <w:pPr>
              <w:spacing w:after="0" w:line="240" w:lineRule="auto"/>
            </w:pPr>
            <w:r w:rsidRPr="00EF2AE2">
              <w:t>12% (Vlaanderen 6%)</w:t>
            </w:r>
          </w:p>
        </w:tc>
        <w:tc>
          <w:tcPr>
            <w:tcW w:w="3071" w:type="dxa"/>
          </w:tcPr>
          <w:p w:rsidR="00BF4B91" w:rsidRPr="00EF2AE2" w:rsidRDefault="00BF4B91" w:rsidP="00EF2AE2">
            <w:pPr>
              <w:spacing w:after="0" w:line="240" w:lineRule="auto"/>
            </w:pPr>
            <w:r w:rsidRPr="00EF2AE2">
              <w:t>15% (Vlaanderen 7%)</w:t>
            </w:r>
          </w:p>
        </w:tc>
        <w:tc>
          <w:tcPr>
            <w:tcW w:w="3071" w:type="dxa"/>
          </w:tcPr>
          <w:p w:rsidR="00BF4B91" w:rsidRPr="00EF2AE2" w:rsidRDefault="00BF4B91" w:rsidP="00EF2AE2">
            <w:pPr>
              <w:spacing w:after="0" w:line="240" w:lineRule="auto"/>
            </w:pPr>
            <w:r w:rsidRPr="00EF2AE2">
              <w:t>+ 3%</w:t>
            </w:r>
          </w:p>
        </w:tc>
      </w:tr>
    </w:tbl>
    <w:p w:rsidR="00BF4B91" w:rsidRDefault="00BF4B91" w:rsidP="00810CEC">
      <w:pPr>
        <w:spacing w:after="0"/>
      </w:pPr>
    </w:p>
    <w:p w:rsidR="00BF4B91" w:rsidRPr="0090157C" w:rsidRDefault="00BF4B91">
      <w:pPr>
        <w:rPr>
          <w:b/>
        </w:rPr>
      </w:pPr>
      <w:r w:rsidRPr="0090157C">
        <w:rPr>
          <w:b/>
        </w:rPr>
        <w:t>De werkloosheid bij jongeren onder de 25 jaar: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F4B91" w:rsidRPr="00EF2AE2" w:rsidTr="00EF2AE2">
        <w:tc>
          <w:tcPr>
            <w:tcW w:w="3070" w:type="dxa"/>
          </w:tcPr>
          <w:p w:rsidR="00BF4B91" w:rsidRPr="00EF2AE2" w:rsidRDefault="00BF4B91" w:rsidP="00EF2AE2">
            <w:pPr>
              <w:spacing w:after="0" w:line="240" w:lineRule="auto"/>
            </w:pPr>
            <w:r w:rsidRPr="00EF2AE2">
              <w:t>2000 (cijfers WNE, nov. ’00)</w:t>
            </w:r>
          </w:p>
        </w:tc>
        <w:tc>
          <w:tcPr>
            <w:tcW w:w="3071" w:type="dxa"/>
          </w:tcPr>
          <w:p w:rsidR="00BF4B91" w:rsidRPr="00EF2AE2" w:rsidRDefault="00BF4B91" w:rsidP="00EF2AE2">
            <w:pPr>
              <w:spacing w:after="0" w:line="240" w:lineRule="auto"/>
            </w:pPr>
            <w:r w:rsidRPr="00EF2AE2">
              <w:t>2010 (cijfers WNE, nov. ’09)</w:t>
            </w:r>
          </w:p>
        </w:tc>
        <w:tc>
          <w:tcPr>
            <w:tcW w:w="3071" w:type="dxa"/>
          </w:tcPr>
          <w:p w:rsidR="00BF4B91" w:rsidRPr="00EF2AE2" w:rsidRDefault="00BF4B91" w:rsidP="00EF2AE2">
            <w:pPr>
              <w:spacing w:after="0" w:line="240" w:lineRule="auto"/>
            </w:pPr>
            <w:r w:rsidRPr="00EF2AE2">
              <w:t>verschil</w:t>
            </w:r>
          </w:p>
        </w:tc>
      </w:tr>
      <w:tr w:rsidR="00BF4B91" w:rsidRPr="00EF2AE2" w:rsidTr="00EF2AE2">
        <w:tc>
          <w:tcPr>
            <w:tcW w:w="3070" w:type="dxa"/>
          </w:tcPr>
          <w:p w:rsidR="00BF4B91" w:rsidRPr="00EF2AE2" w:rsidRDefault="00BF4B91" w:rsidP="00EF2AE2">
            <w:pPr>
              <w:spacing w:after="0" w:line="240" w:lineRule="auto"/>
            </w:pPr>
            <w:r w:rsidRPr="00EF2AE2">
              <w:t>5.044</w:t>
            </w:r>
          </w:p>
        </w:tc>
        <w:tc>
          <w:tcPr>
            <w:tcW w:w="3071" w:type="dxa"/>
          </w:tcPr>
          <w:p w:rsidR="00BF4B91" w:rsidRPr="00EF2AE2" w:rsidRDefault="00BF4B91" w:rsidP="00EF2AE2">
            <w:pPr>
              <w:spacing w:after="0" w:line="240" w:lineRule="auto"/>
            </w:pPr>
            <w:r w:rsidRPr="00EF2AE2">
              <w:t>6.339</w:t>
            </w:r>
          </w:p>
        </w:tc>
        <w:tc>
          <w:tcPr>
            <w:tcW w:w="3071" w:type="dxa"/>
          </w:tcPr>
          <w:p w:rsidR="00BF4B91" w:rsidRPr="00EF2AE2" w:rsidRDefault="00BF4B91" w:rsidP="00EF2AE2">
            <w:pPr>
              <w:spacing w:after="0" w:line="240" w:lineRule="auto"/>
            </w:pPr>
            <w:r w:rsidRPr="00EF2AE2">
              <w:t>+ 1.295</w:t>
            </w:r>
          </w:p>
        </w:tc>
      </w:tr>
    </w:tbl>
    <w:p w:rsidR="00BF4B91" w:rsidRDefault="00BF4B91" w:rsidP="00810CEC">
      <w:pPr>
        <w:spacing w:after="0"/>
      </w:pPr>
    </w:p>
    <w:p w:rsidR="00BF4B91" w:rsidRPr="0090157C" w:rsidRDefault="00BF4B91">
      <w:pPr>
        <w:rPr>
          <w:b/>
        </w:rPr>
      </w:pPr>
      <w:r w:rsidRPr="0090157C">
        <w:rPr>
          <w:b/>
        </w:rPr>
        <w:t>De werkloosheidsgraad bij jongeren onder de 25 jaar: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F4B91" w:rsidRPr="00EF2AE2" w:rsidTr="00EF2AE2">
        <w:tc>
          <w:tcPr>
            <w:tcW w:w="3070" w:type="dxa"/>
          </w:tcPr>
          <w:p w:rsidR="00BF4B91" w:rsidRPr="00EF2AE2" w:rsidRDefault="00BF4B91" w:rsidP="00EF2AE2">
            <w:pPr>
              <w:spacing w:after="0" w:line="240" w:lineRule="auto"/>
            </w:pPr>
            <w:r w:rsidRPr="00EF2AE2">
              <w:t>2000 (cijfers WNE, nov. ’00)</w:t>
            </w:r>
          </w:p>
        </w:tc>
        <w:tc>
          <w:tcPr>
            <w:tcW w:w="3071" w:type="dxa"/>
          </w:tcPr>
          <w:p w:rsidR="00BF4B91" w:rsidRPr="00EF2AE2" w:rsidRDefault="00BF4B91" w:rsidP="00EF2AE2">
            <w:pPr>
              <w:spacing w:after="0" w:line="240" w:lineRule="auto"/>
            </w:pPr>
            <w:r w:rsidRPr="00EF2AE2">
              <w:t>2010 (cijfers WNE, nov. ’09)</w:t>
            </w:r>
          </w:p>
        </w:tc>
        <w:tc>
          <w:tcPr>
            <w:tcW w:w="3071" w:type="dxa"/>
          </w:tcPr>
          <w:p w:rsidR="00BF4B91" w:rsidRPr="00EF2AE2" w:rsidRDefault="00BF4B91" w:rsidP="00EF2AE2">
            <w:pPr>
              <w:spacing w:after="0" w:line="240" w:lineRule="auto"/>
            </w:pPr>
            <w:r w:rsidRPr="00EF2AE2">
              <w:t>verschil</w:t>
            </w:r>
          </w:p>
        </w:tc>
      </w:tr>
      <w:tr w:rsidR="00BF4B91" w:rsidRPr="00EF2AE2" w:rsidTr="00EF2AE2">
        <w:tc>
          <w:tcPr>
            <w:tcW w:w="3070" w:type="dxa"/>
          </w:tcPr>
          <w:p w:rsidR="00BF4B91" w:rsidRPr="00EF2AE2" w:rsidRDefault="00BF4B91" w:rsidP="00EF2AE2">
            <w:pPr>
              <w:spacing w:after="0" w:line="240" w:lineRule="auto"/>
            </w:pPr>
            <w:r w:rsidRPr="00EF2AE2">
              <w:t>23,7% (Vlaanderen 12,7%)</w:t>
            </w:r>
          </w:p>
        </w:tc>
        <w:tc>
          <w:tcPr>
            <w:tcW w:w="3071" w:type="dxa"/>
          </w:tcPr>
          <w:p w:rsidR="00BF4B91" w:rsidRPr="00EF2AE2" w:rsidRDefault="00BF4B91" w:rsidP="00EF2AE2">
            <w:pPr>
              <w:spacing w:after="0" w:line="240" w:lineRule="auto"/>
            </w:pPr>
            <w:r w:rsidRPr="00EF2AE2">
              <w:t>26,8% (Vlaanderen 15,3%)</w:t>
            </w:r>
          </w:p>
        </w:tc>
        <w:tc>
          <w:tcPr>
            <w:tcW w:w="3071" w:type="dxa"/>
          </w:tcPr>
          <w:p w:rsidR="00BF4B91" w:rsidRPr="00EF2AE2" w:rsidRDefault="00BF4B91" w:rsidP="00EF2AE2">
            <w:pPr>
              <w:spacing w:after="0" w:line="240" w:lineRule="auto"/>
            </w:pPr>
            <w:r w:rsidRPr="00EF2AE2">
              <w:t>+ 3,1%</w:t>
            </w:r>
          </w:p>
        </w:tc>
      </w:tr>
    </w:tbl>
    <w:p w:rsidR="00BF4B91" w:rsidRPr="00D74D9A" w:rsidRDefault="00BF4B91" w:rsidP="00807071">
      <w:pPr>
        <w:numPr>
          <w:ilvl w:val="0"/>
          <w:numId w:val="2"/>
        </w:numPr>
        <w:rPr>
          <w:b/>
          <w:u w:val="single"/>
        </w:rPr>
      </w:pPr>
      <w:r w:rsidRPr="00D74D9A">
        <w:rPr>
          <w:b/>
          <w:u w:val="single"/>
        </w:rPr>
        <w:lastRenderedPageBreak/>
        <w:t>De criminaliteitsevolutie</w:t>
      </w:r>
    </w:p>
    <w:p w:rsidR="00BF4B91" w:rsidRPr="0090157C" w:rsidRDefault="00BF4B91" w:rsidP="00BE7D17">
      <w:pPr>
        <w:spacing w:after="0"/>
        <w:rPr>
          <w:b/>
        </w:rPr>
      </w:pPr>
      <w:r w:rsidRPr="0090157C">
        <w:rPr>
          <w:b/>
        </w:rPr>
        <w:t>De criminaliteit:</w:t>
      </w:r>
    </w:p>
    <w:p w:rsidR="00BF4B91" w:rsidRDefault="00BF4B91" w:rsidP="00BE7D17">
      <w:pPr>
        <w:spacing w:after="0"/>
      </w:pPr>
      <w:r>
        <w:t>(totaal aantal feiten geregistreerde criminaliteit)</w:t>
      </w:r>
    </w:p>
    <w:p w:rsidR="00BF4B91" w:rsidRDefault="00BF4B91" w:rsidP="00BE7D17">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F4B91" w:rsidRPr="00EF2AE2" w:rsidTr="00EF2AE2">
        <w:tc>
          <w:tcPr>
            <w:tcW w:w="3070" w:type="dxa"/>
          </w:tcPr>
          <w:p w:rsidR="00BF4B91" w:rsidRPr="00EF2AE2" w:rsidRDefault="00BF4B91" w:rsidP="00EF2AE2">
            <w:pPr>
              <w:spacing w:after="0" w:line="240" w:lineRule="auto"/>
            </w:pPr>
            <w:r w:rsidRPr="00EF2AE2">
              <w:t>2000</w:t>
            </w:r>
          </w:p>
        </w:tc>
        <w:tc>
          <w:tcPr>
            <w:tcW w:w="3071" w:type="dxa"/>
          </w:tcPr>
          <w:p w:rsidR="00BF4B91" w:rsidRPr="00EF2AE2" w:rsidRDefault="00BF4B91" w:rsidP="00EF2AE2">
            <w:pPr>
              <w:spacing w:after="0" w:line="240" w:lineRule="auto"/>
            </w:pPr>
            <w:r w:rsidRPr="00EF2AE2">
              <w:t>2010</w:t>
            </w:r>
          </w:p>
        </w:tc>
        <w:tc>
          <w:tcPr>
            <w:tcW w:w="3071" w:type="dxa"/>
          </w:tcPr>
          <w:p w:rsidR="00BF4B91" w:rsidRPr="00EF2AE2" w:rsidRDefault="00BF4B91" w:rsidP="00EF2AE2">
            <w:pPr>
              <w:spacing w:after="0" w:line="240" w:lineRule="auto"/>
            </w:pPr>
            <w:r w:rsidRPr="00EF2AE2">
              <w:t>verschil</w:t>
            </w:r>
          </w:p>
        </w:tc>
      </w:tr>
      <w:tr w:rsidR="00BF4B91" w:rsidRPr="00EF2AE2" w:rsidTr="00EF2AE2">
        <w:tc>
          <w:tcPr>
            <w:tcW w:w="3070" w:type="dxa"/>
          </w:tcPr>
          <w:p w:rsidR="00BF4B91" w:rsidRPr="00EF2AE2" w:rsidRDefault="00BF4B91" w:rsidP="00EF2AE2">
            <w:pPr>
              <w:spacing w:after="0" w:line="240" w:lineRule="auto"/>
            </w:pPr>
            <w:r w:rsidRPr="00EF2AE2">
              <w:t>42.116</w:t>
            </w:r>
          </w:p>
        </w:tc>
        <w:tc>
          <w:tcPr>
            <w:tcW w:w="3071" w:type="dxa"/>
          </w:tcPr>
          <w:p w:rsidR="00BF4B91" w:rsidRPr="00EF2AE2" w:rsidRDefault="00BF4B91" w:rsidP="00EF2AE2">
            <w:pPr>
              <w:spacing w:after="0" w:line="240" w:lineRule="auto"/>
            </w:pPr>
            <w:r w:rsidRPr="00EF2AE2">
              <w:t>46.284</w:t>
            </w:r>
          </w:p>
        </w:tc>
        <w:tc>
          <w:tcPr>
            <w:tcW w:w="3071" w:type="dxa"/>
          </w:tcPr>
          <w:p w:rsidR="00BF4B91" w:rsidRPr="00EF2AE2" w:rsidRDefault="00BF4B91" w:rsidP="00A50318">
            <w:pPr>
              <w:spacing w:after="0" w:line="240" w:lineRule="auto"/>
            </w:pPr>
            <w:r w:rsidRPr="00EF2AE2">
              <w:t>+ 4.168</w:t>
            </w:r>
            <w:r w:rsidR="00A50318">
              <w:t xml:space="preserve"> (+ 9%)</w:t>
            </w:r>
          </w:p>
        </w:tc>
      </w:tr>
    </w:tbl>
    <w:p w:rsidR="00BF4B91" w:rsidRDefault="00BF4B91" w:rsidP="00BE7D17">
      <w:pPr>
        <w:spacing w:after="0"/>
      </w:pPr>
    </w:p>
    <w:p w:rsidR="00BF4B91" w:rsidRDefault="00BF4B91">
      <w:pPr>
        <w:rPr>
          <w:b/>
          <w:u w:val="single"/>
        </w:rPr>
      </w:pPr>
    </w:p>
    <w:p w:rsidR="00BF4B91" w:rsidRDefault="00BF4B91" w:rsidP="00A50318">
      <w:pPr>
        <w:numPr>
          <w:ilvl w:val="0"/>
          <w:numId w:val="2"/>
        </w:numPr>
        <w:spacing w:after="0"/>
        <w:rPr>
          <w:b/>
          <w:u w:val="single"/>
        </w:rPr>
      </w:pPr>
      <w:r w:rsidRPr="00D74D9A">
        <w:rPr>
          <w:b/>
          <w:u w:val="single"/>
        </w:rPr>
        <w:t>De sociale evolutie</w:t>
      </w:r>
    </w:p>
    <w:p w:rsidR="00A50318" w:rsidRPr="00D74D9A" w:rsidRDefault="00A50318" w:rsidP="00A50318">
      <w:pPr>
        <w:spacing w:after="0"/>
        <w:rPr>
          <w:b/>
          <w:u w:val="single"/>
        </w:rPr>
      </w:pPr>
    </w:p>
    <w:p w:rsidR="00BF4B91" w:rsidRPr="0090157C" w:rsidRDefault="00C33CED">
      <w:pPr>
        <w:rPr>
          <w:b/>
        </w:rPr>
      </w:pPr>
      <w:r>
        <w:rPr>
          <w:b/>
        </w:rPr>
        <w:t>A</w:t>
      </w:r>
      <w:r w:rsidR="00BF4B91" w:rsidRPr="0090157C">
        <w:rPr>
          <w:b/>
        </w:rPr>
        <w:t>rmoede:</w:t>
      </w:r>
    </w:p>
    <w:p w:rsidR="00BF4B91" w:rsidRDefault="00BF4B91">
      <w:r>
        <w:t xml:space="preserve">20% van de Antwerpse bevolking leeft momenteel onder de armoedegrens. </w:t>
      </w:r>
      <w:r w:rsidRPr="003A3457">
        <w:t xml:space="preserve">De belangrijkste oorzaak </w:t>
      </w:r>
      <w:r>
        <w:t>is niet de economische crisis. D</w:t>
      </w:r>
      <w:r w:rsidRPr="003A3457">
        <w:t xml:space="preserve">e stijging van de armoede in onze stad is </w:t>
      </w:r>
      <w:r>
        <w:t>grotendeels een gevolg van de massale import</w:t>
      </w:r>
      <w:r w:rsidRPr="003A3457">
        <w:t xml:space="preserve"> </w:t>
      </w:r>
      <w:r>
        <w:t xml:space="preserve">- </w:t>
      </w:r>
      <w:r w:rsidRPr="003A3457">
        <w:t xml:space="preserve">via een lakse asiel- en immigratiewetgeving </w:t>
      </w:r>
      <w:r>
        <w:t xml:space="preserve">- van </w:t>
      </w:r>
      <w:r w:rsidRPr="003A3457">
        <w:t>armoede uit de derde wereld.</w:t>
      </w:r>
      <w:r>
        <w:t xml:space="preserve"> Ondertussen is al </w:t>
      </w:r>
      <w:r w:rsidRPr="003A3457">
        <w:t xml:space="preserve"> </w:t>
      </w:r>
      <w:r w:rsidR="00442D34">
        <w:t>51</w:t>
      </w:r>
      <w:r w:rsidRPr="003A3457">
        <w:t xml:space="preserve">% van de OCMW-klanten asielzoeker, </w:t>
      </w:r>
      <w:r w:rsidR="00026445">
        <w:t xml:space="preserve">vluchteling, </w:t>
      </w:r>
      <w:r w:rsidRPr="003A3457">
        <w:t>geregulariseerd of via gezinshereniging in ons land toegekomen</w:t>
      </w:r>
      <w:r>
        <w:t xml:space="preserve"> (</w:t>
      </w:r>
      <w:r w:rsidR="00026445">
        <w:t>3.682 van de 7.206 dossiers in september ’09). In maart van vorig jaar bedroeg het aandeel asielzoekers, vluchtelingen en geregulariseerden nog 46% (</w:t>
      </w:r>
      <w:r>
        <w:t>3.071 van de 7.085 dossiers)</w:t>
      </w:r>
      <w:r w:rsidRPr="003A3457">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BF4B91" w:rsidRPr="00EF2AE2" w:rsidTr="00EF2AE2">
        <w:tc>
          <w:tcPr>
            <w:tcW w:w="3070" w:type="dxa"/>
          </w:tcPr>
          <w:p w:rsidR="00BF4B91" w:rsidRPr="00EF2AE2" w:rsidRDefault="00BF4B91" w:rsidP="00EF2AE2">
            <w:pPr>
              <w:spacing w:after="0" w:line="240" w:lineRule="auto"/>
            </w:pPr>
            <w:r w:rsidRPr="00EF2AE2">
              <w:t>2000 (cijfers OCMW, juli ’00)</w:t>
            </w:r>
          </w:p>
        </w:tc>
        <w:tc>
          <w:tcPr>
            <w:tcW w:w="3071" w:type="dxa"/>
          </w:tcPr>
          <w:p w:rsidR="00BF4B91" w:rsidRPr="00EF2AE2" w:rsidRDefault="00BF4B91" w:rsidP="00026445">
            <w:pPr>
              <w:spacing w:after="0" w:line="240" w:lineRule="auto"/>
            </w:pPr>
            <w:r w:rsidRPr="00EF2AE2">
              <w:t xml:space="preserve">2010 (cijfers OCMW, </w:t>
            </w:r>
            <w:r w:rsidR="00026445">
              <w:t>sept.</w:t>
            </w:r>
            <w:r w:rsidR="00442D34">
              <w:t xml:space="preserve"> ‘09</w:t>
            </w:r>
            <w:r w:rsidRPr="00EF2AE2">
              <w:t>)</w:t>
            </w:r>
          </w:p>
        </w:tc>
        <w:tc>
          <w:tcPr>
            <w:tcW w:w="3071" w:type="dxa"/>
          </w:tcPr>
          <w:p w:rsidR="00BF4B91" w:rsidRPr="00EF2AE2" w:rsidRDefault="00BF4B91" w:rsidP="00EF2AE2">
            <w:pPr>
              <w:spacing w:after="0" w:line="240" w:lineRule="auto"/>
            </w:pPr>
            <w:r w:rsidRPr="00EF2AE2">
              <w:t>verschil</w:t>
            </w:r>
          </w:p>
        </w:tc>
      </w:tr>
      <w:tr w:rsidR="00BF4B91" w:rsidRPr="00EF2AE2" w:rsidTr="00EF2AE2">
        <w:tc>
          <w:tcPr>
            <w:tcW w:w="3070" w:type="dxa"/>
          </w:tcPr>
          <w:p w:rsidR="00BF4B91" w:rsidRPr="00EF2AE2" w:rsidRDefault="00BF4B91" w:rsidP="00EF2AE2">
            <w:pPr>
              <w:spacing w:after="0" w:line="240" w:lineRule="auto"/>
            </w:pPr>
            <w:r w:rsidRPr="00EF2AE2">
              <w:t>971 (= 17% van totaal)</w:t>
            </w:r>
          </w:p>
        </w:tc>
        <w:tc>
          <w:tcPr>
            <w:tcW w:w="3071" w:type="dxa"/>
          </w:tcPr>
          <w:p w:rsidR="00BF4B91" w:rsidRPr="00EF2AE2" w:rsidRDefault="00BF4B91" w:rsidP="00026445">
            <w:pPr>
              <w:spacing w:after="0" w:line="240" w:lineRule="auto"/>
            </w:pPr>
            <w:r w:rsidRPr="00EF2AE2">
              <w:t>3.</w:t>
            </w:r>
            <w:r w:rsidR="00026445">
              <w:t>682</w:t>
            </w:r>
            <w:r w:rsidRPr="00EF2AE2">
              <w:t xml:space="preserve"> (= </w:t>
            </w:r>
            <w:r w:rsidR="00026445">
              <w:t>51</w:t>
            </w:r>
            <w:r w:rsidRPr="00EF2AE2">
              <w:t>% van totaal)</w:t>
            </w:r>
          </w:p>
        </w:tc>
        <w:tc>
          <w:tcPr>
            <w:tcW w:w="3071" w:type="dxa"/>
          </w:tcPr>
          <w:p w:rsidR="00BF4B91" w:rsidRPr="00EF2AE2" w:rsidRDefault="00BF4B91" w:rsidP="00026445">
            <w:pPr>
              <w:spacing w:after="0" w:line="240" w:lineRule="auto"/>
            </w:pPr>
            <w:r w:rsidRPr="00EF2AE2">
              <w:t>+ 2.</w:t>
            </w:r>
            <w:r w:rsidR="00026445">
              <w:t>711</w:t>
            </w:r>
            <w:r w:rsidRPr="00EF2AE2">
              <w:t xml:space="preserve"> (+ </w:t>
            </w:r>
            <w:r w:rsidR="00026445">
              <w:t>73,6</w:t>
            </w:r>
            <w:r w:rsidRPr="00EF2AE2">
              <w:t>%)</w:t>
            </w:r>
          </w:p>
        </w:tc>
      </w:tr>
    </w:tbl>
    <w:p w:rsidR="00BF4B91" w:rsidRDefault="00BF4B91"/>
    <w:p w:rsidR="00026445" w:rsidRDefault="00BF4B91" w:rsidP="00026445">
      <w:pPr>
        <w:spacing w:after="0"/>
      </w:pPr>
      <w:r w:rsidRPr="003A3457">
        <w:t>De stijging van de armoede loopt parallel met de stijging van de immigratie, met de stijging van het aantal asielzoekers en geregulariseerden.</w:t>
      </w:r>
      <w:r>
        <w:t xml:space="preserve"> In totaal is 75% van de OCMW-klanten allochtoon. </w:t>
      </w:r>
      <w:r w:rsidRPr="003A3457">
        <w:t xml:space="preserve">80% van de sociale tewerkstellingsplaatsen </w:t>
      </w:r>
      <w:r>
        <w:t xml:space="preserve">aangeboden door stad en OCMW </w:t>
      </w:r>
      <w:r w:rsidRPr="003A3457">
        <w:t>gaat naar allochtonen.</w:t>
      </w:r>
    </w:p>
    <w:p w:rsidR="00026445" w:rsidRDefault="00026445" w:rsidP="00026445">
      <w:pPr>
        <w:spacing w:after="0" w:line="240" w:lineRule="auto"/>
      </w:pPr>
    </w:p>
    <w:p w:rsidR="00026445" w:rsidRDefault="00026445" w:rsidP="00026445">
      <w:pPr>
        <w:spacing w:after="0" w:line="240" w:lineRule="auto"/>
        <w:rPr>
          <w:b/>
        </w:rPr>
      </w:pPr>
    </w:p>
    <w:p w:rsidR="00BF4B91" w:rsidRPr="00C33CED" w:rsidRDefault="00BF4B91" w:rsidP="002D46C4">
      <w:pPr>
        <w:rPr>
          <w:b/>
        </w:rPr>
      </w:pPr>
      <w:r w:rsidRPr="00C33CED">
        <w:rPr>
          <w:b/>
        </w:rPr>
        <w:t>Sociale huisvesting</w:t>
      </w:r>
      <w:r w:rsidR="00C33CED" w:rsidRPr="00C33CED">
        <w:rPr>
          <w:b/>
        </w:rPr>
        <w:t>:</w:t>
      </w:r>
    </w:p>
    <w:p w:rsidR="00C33CED" w:rsidRDefault="00C0235A" w:rsidP="00C33CED">
      <w:pPr>
        <w:spacing w:line="240" w:lineRule="auto"/>
      </w:pPr>
      <w:r>
        <w:t>Er zijn bijzonder weinig cijfers over de samenstelling van de sociale huurderspopulatie te verkrijgen. Hierbij geven we het cijfer weer van de t</w:t>
      </w:r>
      <w:r w:rsidR="00C33CED">
        <w:t>oewijzingen van sociale woningen aan vreemdelingen</w:t>
      </w:r>
      <w:r w:rsidR="009B3CB2">
        <w:t xml:space="preserve"> in Antwerpen. Dit cijfer geeft een tendens weer, nl. dat steeds meer sociale woningen door allochtonen worden bewoond.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70"/>
        <w:gridCol w:w="3071"/>
        <w:gridCol w:w="3071"/>
      </w:tblGrid>
      <w:tr w:rsidR="00C33CED" w:rsidTr="00C33CED">
        <w:tc>
          <w:tcPr>
            <w:tcW w:w="3070" w:type="dxa"/>
          </w:tcPr>
          <w:p w:rsidR="00C33CED" w:rsidRDefault="00C33CED" w:rsidP="00C33CED">
            <w:pPr>
              <w:spacing w:line="240" w:lineRule="auto"/>
            </w:pPr>
            <w:r>
              <w:t xml:space="preserve">2000 </w:t>
            </w:r>
          </w:p>
        </w:tc>
        <w:tc>
          <w:tcPr>
            <w:tcW w:w="3071" w:type="dxa"/>
          </w:tcPr>
          <w:p w:rsidR="00C33CED" w:rsidRDefault="00C33CED" w:rsidP="00C33CED">
            <w:pPr>
              <w:spacing w:line="240" w:lineRule="auto"/>
            </w:pPr>
            <w:r>
              <w:t>midden 2007</w:t>
            </w:r>
          </w:p>
        </w:tc>
        <w:tc>
          <w:tcPr>
            <w:tcW w:w="3071" w:type="dxa"/>
          </w:tcPr>
          <w:p w:rsidR="00C33CED" w:rsidRDefault="00C33CED" w:rsidP="00C33CED">
            <w:pPr>
              <w:spacing w:line="240" w:lineRule="auto"/>
            </w:pPr>
            <w:r>
              <w:t>verschil</w:t>
            </w:r>
          </w:p>
        </w:tc>
      </w:tr>
      <w:tr w:rsidR="00C33CED" w:rsidTr="00C33CED">
        <w:tc>
          <w:tcPr>
            <w:tcW w:w="3070" w:type="dxa"/>
          </w:tcPr>
          <w:p w:rsidR="00C33CED" w:rsidRDefault="00C33CED" w:rsidP="00C33CED">
            <w:pPr>
              <w:spacing w:line="240" w:lineRule="auto"/>
            </w:pPr>
            <w:r>
              <w:t>552 (43,3% van het totaal)</w:t>
            </w:r>
          </w:p>
        </w:tc>
        <w:tc>
          <w:tcPr>
            <w:tcW w:w="3071" w:type="dxa"/>
          </w:tcPr>
          <w:p w:rsidR="00C33CED" w:rsidRDefault="00C33CED" w:rsidP="00C33CED">
            <w:pPr>
              <w:spacing w:line="240" w:lineRule="auto"/>
            </w:pPr>
            <w:r>
              <w:t>990 (49,7% van het totaal)</w:t>
            </w:r>
          </w:p>
        </w:tc>
        <w:tc>
          <w:tcPr>
            <w:tcW w:w="3071" w:type="dxa"/>
          </w:tcPr>
          <w:p w:rsidR="00C33CED" w:rsidRDefault="00C33CED" w:rsidP="00C33CED">
            <w:pPr>
              <w:spacing w:line="240" w:lineRule="auto"/>
            </w:pPr>
            <w:r>
              <w:t>+ 6,4%</w:t>
            </w:r>
          </w:p>
        </w:tc>
      </w:tr>
    </w:tbl>
    <w:p w:rsidR="00C33CED" w:rsidRDefault="00C33CED" w:rsidP="00C33CED">
      <w:pPr>
        <w:spacing w:after="0" w:line="240" w:lineRule="auto"/>
      </w:pPr>
    </w:p>
    <w:p w:rsidR="00BF4B91" w:rsidRDefault="00C33CED" w:rsidP="00C33CED">
      <w:pPr>
        <w:spacing w:line="240" w:lineRule="auto"/>
      </w:pPr>
      <w:r>
        <w:t>Midden 2007 gebeurde ongeveer de helft van de toewijzingen van sociale woningen in Antwerpen aan niet-Belgen.</w:t>
      </w:r>
    </w:p>
    <w:p w:rsidR="00BF4B91" w:rsidRDefault="00BF4B91" w:rsidP="002D46C4"/>
    <w:p w:rsidR="00026445" w:rsidRDefault="00026445" w:rsidP="002D46C4">
      <w:pPr>
        <w:rPr>
          <w:b/>
          <w:u w:val="single"/>
        </w:rPr>
      </w:pPr>
    </w:p>
    <w:p w:rsidR="00026445" w:rsidRDefault="00026445" w:rsidP="002D46C4">
      <w:pPr>
        <w:rPr>
          <w:b/>
          <w:u w:val="single"/>
        </w:rPr>
      </w:pPr>
    </w:p>
    <w:p w:rsidR="00A15BE0" w:rsidRDefault="009B3CB2" w:rsidP="00A15BE0">
      <w:pPr>
        <w:numPr>
          <w:ilvl w:val="0"/>
          <w:numId w:val="2"/>
        </w:numPr>
        <w:spacing w:after="0"/>
        <w:rPr>
          <w:b/>
          <w:u w:val="single"/>
        </w:rPr>
      </w:pPr>
      <w:r>
        <w:rPr>
          <w:b/>
          <w:u w:val="single"/>
        </w:rPr>
        <w:lastRenderedPageBreak/>
        <w:t>C</w:t>
      </w:r>
      <w:r w:rsidR="00A15BE0">
        <w:rPr>
          <w:b/>
          <w:u w:val="single"/>
        </w:rPr>
        <w:t>onclusies</w:t>
      </w:r>
    </w:p>
    <w:p w:rsidR="00A15BE0" w:rsidRDefault="00A15BE0" w:rsidP="00A15BE0">
      <w:pPr>
        <w:spacing w:after="0"/>
        <w:rPr>
          <w:b/>
          <w:u w:val="single"/>
        </w:rPr>
      </w:pPr>
    </w:p>
    <w:p w:rsidR="00BF4B91" w:rsidRPr="00A15BE0" w:rsidRDefault="00BF4B91" w:rsidP="002D46C4">
      <w:pPr>
        <w:rPr>
          <w:b/>
        </w:rPr>
      </w:pPr>
      <w:r w:rsidRPr="00A15BE0">
        <w:rPr>
          <w:b/>
        </w:rPr>
        <w:t>Antwerpen verkleurt, verarmt, vergrijst en wordt onveiliger</w:t>
      </w:r>
    </w:p>
    <w:p w:rsidR="00BF4B91" w:rsidRDefault="00BF4B91" w:rsidP="002D46C4">
      <w:r>
        <w:t>De Antwerpse evoluties op sociaal, economisch, demografisch, etnisch en criminaliteitsvlak is voor wat het voorbije decennium (2000-2010) betreft absoluut niet rooskleurig te noemen. Het voorbije decennium werd vooral in bakstenen en infrastructuur geïnvesteerd. Een inhaaloefening die absoluut noodzakelijk was</w:t>
      </w:r>
      <w:r w:rsidR="00A15BE0">
        <w:t>,</w:t>
      </w:r>
      <w:r>
        <w:t xml:space="preserve"> maar die niet heeft kunnen</w:t>
      </w:r>
      <w:r w:rsidR="00A15BE0">
        <w:t xml:space="preserve"> vermijden</w:t>
      </w:r>
      <w:r>
        <w:t xml:space="preserve"> dat Antwerpen de voorbije tien jaar verkleurde, verarmde, vergrijsde en onveiliger werd. Het multiculturalisme, het politiek correcte denken en het soms geforceerde positivosfeertje zorgt ervoor dat negatieve soc</w:t>
      </w:r>
      <w:r w:rsidR="00A15BE0">
        <w:t>io-</w:t>
      </w:r>
      <w:r>
        <w:t xml:space="preserve"> economische en etnisch-demografische evoluties nauwelijks nog aandacht krijgen. Nochtans zijn die evoluties ronduit alarmerend en soms zelfs dramatisch te noemen.</w:t>
      </w:r>
    </w:p>
    <w:p w:rsidR="00BF4B91" w:rsidRPr="00A15BE0" w:rsidRDefault="00BF4B91" w:rsidP="002D46C4">
      <w:pPr>
        <w:rPr>
          <w:b/>
        </w:rPr>
      </w:pPr>
      <w:r w:rsidRPr="00A15BE0">
        <w:rPr>
          <w:b/>
        </w:rPr>
        <w:t>Werkloosheid, armoede, onveiligheid, immigratie: een explosieve cocktail</w:t>
      </w:r>
    </w:p>
    <w:p w:rsidR="00BF4B91" w:rsidRDefault="00BF4B91" w:rsidP="002D46C4">
      <w:r>
        <w:t xml:space="preserve">De </w:t>
      </w:r>
      <w:r w:rsidR="00C0235A">
        <w:t xml:space="preserve">negatieve </w:t>
      </w:r>
      <w:r>
        <w:t xml:space="preserve">etnisch-demografische evolutie </w:t>
      </w:r>
      <w:r w:rsidR="00C0235A">
        <w:t xml:space="preserve">- </w:t>
      </w:r>
      <w:r>
        <w:t xml:space="preserve">waarbij Antwerpen binnen </w:t>
      </w:r>
      <w:r w:rsidR="00C0235A">
        <w:t xml:space="preserve">14 </w:t>
      </w:r>
      <w:r>
        <w:t>jaar een meerderheid aan allochtonen zal tellen</w:t>
      </w:r>
      <w:r w:rsidR="00C0235A">
        <w:t xml:space="preserve"> -</w:t>
      </w:r>
      <w:r>
        <w:t xml:space="preserve"> verontrust vele Antwerpenaren omwille van de witte vlucht, de vergrijzing van de autochtone bevolking en de toename van de allochtone bevolking. </w:t>
      </w:r>
    </w:p>
    <w:p w:rsidR="00BF4B91" w:rsidRDefault="00BF4B91" w:rsidP="002D46C4">
      <w:r>
        <w:t xml:space="preserve">De toenemende armoede en werkloosheid heeft trouwens veel te maken met de veranderende bevolkingssamenstelling. Hoelang bestaat er in onze stad nog een maatschappelijk, sociaal maar ook financieel draagvlak voor dit alles? De </w:t>
      </w:r>
      <w:r w:rsidR="00C0235A">
        <w:t>witte vlucht -</w:t>
      </w:r>
      <w:r>
        <w:t xml:space="preserve"> waarbij steeds meer autochtone Antwerpenaren de stad verlaten </w:t>
      </w:r>
      <w:r w:rsidR="00C0235A">
        <w:t xml:space="preserve">- </w:t>
      </w:r>
      <w:r>
        <w:t>is overigens een teken aan de wand. De cijfers negeren, onder de mat vegen of minimaliseren heeft geen zin. Hoeveel rode lichten kunnen we voorbij rijden vooraleer het te laat is? Het betreft een bijzonder explosieve cocktail van problemen die niet genegeerd mogen worden.</w:t>
      </w:r>
    </w:p>
    <w:p w:rsidR="00BF4B91" w:rsidRPr="00A15BE0" w:rsidRDefault="00BF4B91" w:rsidP="002D46C4">
      <w:pPr>
        <w:rPr>
          <w:b/>
        </w:rPr>
      </w:pPr>
      <w:r w:rsidRPr="00A15BE0">
        <w:rPr>
          <w:b/>
        </w:rPr>
        <w:t>Race tegen de tijd</w:t>
      </w:r>
      <w:r w:rsidR="00A15BE0">
        <w:rPr>
          <w:b/>
        </w:rPr>
        <w:t>…</w:t>
      </w:r>
    </w:p>
    <w:p w:rsidR="00BF4B91" w:rsidRDefault="00BF4B91" w:rsidP="002D46C4">
      <w:r>
        <w:t>Wie op etnisch</w:t>
      </w:r>
      <w:r w:rsidR="00C0235A">
        <w:t>-</w:t>
      </w:r>
      <w:r>
        <w:t xml:space="preserve">demografisch vlak verandering bepleit, beseft dat het een race tegen de tijd wordt! Nog twee, maximum </w:t>
      </w:r>
      <w:r w:rsidR="00C0235A">
        <w:t>drie</w:t>
      </w:r>
      <w:r>
        <w:t xml:space="preserve"> decennia en het keerpunt is onherroepelijk </w:t>
      </w:r>
      <w:r w:rsidR="00C0235A">
        <w:t>bereikt</w:t>
      </w:r>
      <w:r>
        <w:t>. Alleen een doordacht en gedurfd immigratie- (immigratiestop) en assimilatiebeleid gekoppeld aan een doorgedreven gezinspolitiek kan op half lange termijn een ommekeer betekenen. Een uitdaging voor het nieuwe decennium!</w:t>
      </w:r>
    </w:p>
    <w:p w:rsidR="00A15BE0" w:rsidRDefault="00BF4B91" w:rsidP="002D46C4">
      <w:r>
        <w:t xml:space="preserve"> </w:t>
      </w:r>
    </w:p>
    <w:p w:rsidR="00BF4B91" w:rsidRDefault="00A15BE0" w:rsidP="002D46C4">
      <w:r>
        <w:t>Filip Dewinter</w:t>
      </w:r>
      <w:r w:rsidR="00BF4B91">
        <w:t xml:space="preserve"> </w:t>
      </w:r>
    </w:p>
    <w:p w:rsidR="00BF4B91" w:rsidRDefault="00BF4B91" w:rsidP="002D46C4"/>
    <w:p w:rsidR="00A15BE0" w:rsidRDefault="00A15BE0" w:rsidP="002D46C4"/>
    <w:p w:rsidR="009B3CB2" w:rsidRDefault="009B3CB2" w:rsidP="002D46C4"/>
    <w:p w:rsidR="00A15BE0" w:rsidRPr="00A15BE0" w:rsidRDefault="00A15BE0" w:rsidP="002D46C4">
      <w:pPr>
        <w:rPr>
          <w:i/>
          <w:sz w:val="20"/>
          <w:szCs w:val="20"/>
        </w:rPr>
      </w:pPr>
      <w:r w:rsidRPr="00A15BE0">
        <w:rPr>
          <w:i/>
          <w:sz w:val="20"/>
          <w:szCs w:val="20"/>
        </w:rPr>
        <w:t xml:space="preserve">(tenzij anders vermeld zijn de cijfers </w:t>
      </w:r>
      <w:r w:rsidR="009B3CB2">
        <w:rPr>
          <w:i/>
          <w:sz w:val="20"/>
          <w:szCs w:val="20"/>
        </w:rPr>
        <w:t xml:space="preserve">gebruikt in deze nota </w:t>
      </w:r>
      <w:r w:rsidRPr="00A15BE0">
        <w:rPr>
          <w:i/>
          <w:sz w:val="20"/>
          <w:szCs w:val="20"/>
        </w:rPr>
        <w:t>afkomstig van de site van de stad Antwerpen en van de buurtmonitor)</w:t>
      </w:r>
    </w:p>
    <w:p w:rsidR="00BF4B91" w:rsidRDefault="00BF4B91"/>
    <w:p w:rsidR="00BF4B91" w:rsidRDefault="00BF4B91"/>
    <w:sectPr w:rsidR="00BF4B91" w:rsidSect="003C690A">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092" w:rsidRDefault="004A0092">
      <w:r>
        <w:separator/>
      </w:r>
    </w:p>
  </w:endnote>
  <w:endnote w:type="continuationSeparator" w:id="0">
    <w:p w:rsidR="004A0092" w:rsidRDefault="004A0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B91" w:rsidRDefault="00E27A44" w:rsidP="006C7D7D">
    <w:pPr>
      <w:pStyle w:val="Voettekst"/>
      <w:framePr w:wrap="around" w:vAnchor="text" w:hAnchor="margin" w:xAlign="right" w:y="1"/>
      <w:rPr>
        <w:rStyle w:val="Paginanummer"/>
      </w:rPr>
    </w:pPr>
    <w:r>
      <w:rPr>
        <w:rStyle w:val="Paginanummer"/>
      </w:rPr>
      <w:fldChar w:fldCharType="begin"/>
    </w:r>
    <w:r w:rsidR="00BF4B91">
      <w:rPr>
        <w:rStyle w:val="Paginanummer"/>
      </w:rPr>
      <w:instrText xml:space="preserve">PAGE  </w:instrText>
    </w:r>
    <w:r>
      <w:rPr>
        <w:rStyle w:val="Paginanummer"/>
      </w:rPr>
      <w:fldChar w:fldCharType="end"/>
    </w:r>
  </w:p>
  <w:p w:rsidR="00BF4B91" w:rsidRDefault="00BF4B91" w:rsidP="00C60B46">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B91" w:rsidRDefault="00E27A44" w:rsidP="006C7D7D">
    <w:pPr>
      <w:pStyle w:val="Voettekst"/>
      <w:framePr w:wrap="around" w:vAnchor="text" w:hAnchor="margin" w:xAlign="right" w:y="1"/>
      <w:rPr>
        <w:rStyle w:val="Paginanummer"/>
      </w:rPr>
    </w:pPr>
    <w:r>
      <w:rPr>
        <w:rStyle w:val="Paginanummer"/>
      </w:rPr>
      <w:fldChar w:fldCharType="begin"/>
    </w:r>
    <w:r w:rsidR="00BF4B91">
      <w:rPr>
        <w:rStyle w:val="Paginanummer"/>
      </w:rPr>
      <w:instrText xml:space="preserve">PAGE  </w:instrText>
    </w:r>
    <w:r>
      <w:rPr>
        <w:rStyle w:val="Paginanummer"/>
      </w:rPr>
      <w:fldChar w:fldCharType="separate"/>
    </w:r>
    <w:r w:rsidR="00BC287D">
      <w:rPr>
        <w:rStyle w:val="Paginanummer"/>
        <w:noProof/>
      </w:rPr>
      <w:t>1</w:t>
    </w:r>
    <w:r>
      <w:rPr>
        <w:rStyle w:val="Paginanummer"/>
      </w:rPr>
      <w:fldChar w:fldCharType="end"/>
    </w:r>
  </w:p>
  <w:p w:rsidR="00BF4B91" w:rsidRDefault="00BF4B91" w:rsidP="00C60B46">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092" w:rsidRDefault="004A0092">
      <w:r>
        <w:separator/>
      </w:r>
    </w:p>
  </w:footnote>
  <w:footnote w:type="continuationSeparator" w:id="0">
    <w:p w:rsidR="004A0092" w:rsidRDefault="004A00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3523"/>
    <w:multiLevelType w:val="hybridMultilevel"/>
    <w:tmpl w:val="D99234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6CE85C5C"/>
    <w:multiLevelType w:val="hybridMultilevel"/>
    <w:tmpl w:val="8F9CD56A"/>
    <w:lvl w:ilvl="0" w:tplc="AC6C1608">
      <w:start w:val="3"/>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7114"/>
    <w:rsid w:val="00026445"/>
    <w:rsid w:val="000D28AE"/>
    <w:rsid w:val="00117696"/>
    <w:rsid w:val="00127114"/>
    <w:rsid w:val="00133E9D"/>
    <w:rsid w:val="002706A7"/>
    <w:rsid w:val="00271681"/>
    <w:rsid w:val="002C5447"/>
    <w:rsid w:val="002D46C4"/>
    <w:rsid w:val="002E264D"/>
    <w:rsid w:val="002F3CEF"/>
    <w:rsid w:val="003370DD"/>
    <w:rsid w:val="0035126B"/>
    <w:rsid w:val="003A3457"/>
    <w:rsid w:val="003C690A"/>
    <w:rsid w:val="00433C7B"/>
    <w:rsid w:val="00442D34"/>
    <w:rsid w:val="00496FE5"/>
    <w:rsid w:val="004A0092"/>
    <w:rsid w:val="00555BF5"/>
    <w:rsid w:val="006922F1"/>
    <w:rsid w:val="006B456A"/>
    <w:rsid w:val="006C7D7D"/>
    <w:rsid w:val="00777AD5"/>
    <w:rsid w:val="007F2295"/>
    <w:rsid w:val="00807071"/>
    <w:rsid w:val="00810CEC"/>
    <w:rsid w:val="00820004"/>
    <w:rsid w:val="00897312"/>
    <w:rsid w:val="008E0C97"/>
    <w:rsid w:val="008F68A6"/>
    <w:rsid w:val="0090157C"/>
    <w:rsid w:val="009160C9"/>
    <w:rsid w:val="009B3CB2"/>
    <w:rsid w:val="00A07F24"/>
    <w:rsid w:val="00A10967"/>
    <w:rsid w:val="00A15BE0"/>
    <w:rsid w:val="00A50318"/>
    <w:rsid w:val="00B3159F"/>
    <w:rsid w:val="00B8311F"/>
    <w:rsid w:val="00BA0B0E"/>
    <w:rsid w:val="00BC287D"/>
    <w:rsid w:val="00BE7D17"/>
    <w:rsid w:val="00BF4B91"/>
    <w:rsid w:val="00C0235A"/>
    <w:rsid w:val="00C12706"/>
    <w:rsid w:val="00C33CED"/>
    <w:rsid w:val="00C60B46"/>
    <w:rsid w:val="00D11434"/>
    <w:rsid w:val="00D13AA9"/>
    <w:rsid w:val="00D74D9A"/>
    <w:rsid w:val="00DB1D92"/>
    <w:rsid w:val="00DB3E6C"/>
    <w:rsid w:val="00E27A44"/>
    <w:rsid w:val="00E40235"/>
    <w:rsid w:val="00EF2AE2"/>
    <w:rsid w:val="00F91792"/>
    <w:rsid w:val="00F97949"/>
    <w:rsid w:val="00FC0506"/>
    <w:rsid w:val="00FC71DB"/>
  </w:rsids>
  <m:mathPr>
    <m:mathFont m:val="Cambria Math"/>
    <m:brkBin m:val="before"/>
    <m:brkBinSub m:val="--"/>
    <m:smallFrac m:val="off"/>
    <m:dispDef/>
    <m:lMargin m:val="0"/>
    <m:rMargin m:val="0"/>
    <m:defJc m:val="centerGroup"/>
    <m:wrapIndent m:val="1440"/>
    <m:intLim m:val="subSup"/>
    <m:naryLim m:val="undOvr"/>
  </m:mathPr>
  <w:uiCompat97To2003/>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690A"/>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7F22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99"/>
    <w:qFormat/>
    <w:rsid w:val="0090157C"/>
    <w:pPr>
      <w:ind w:left="720"/>
      <w:contextualSpacing/>
    </w:pPr>
  </w:style>
  <w:style w:type="paragraph" w:styleId="Ballontekst">
    <w:name w:val="Balloon Text"/>
    <w:basedOn w:val="Standaard"/>
    <w:link w:val="BallontekstChar"/>
    <w:uiPriority w:val="99"/>
    <w:semiHidden/>
    <w:rsid w:val="00B8311F"/>
    <w:rPr>
      <w:rFonts w:ascii="Tahoma" w:hAnsi="Tahoma" w:cs="Tahoma"/>
      <w:sz w:val="16"/>
      <w:szCs w:val="16"/>
    </w:rPr>
  </w:style>
  <w:style w:type="character" w:customStyle="1" w:styleId="BallontekstChar">
    <w:name w:val="Ballontekst Char"/>
    <w:basedOn w:val="Standaardalinea-lettertype"/>
    <w:link w:val="Ballontekst"/>
    <w:uiPriority w:val="99"/>
    <w:semiHidden/>
    <w:rsid w:val="007D0027"/>
    <w:rPr>
      <w:rFonts w:ascii="Times New Roman" w:hAnsi="Times New Roman"/>
      <w:sz w:val="0"/>
      <w:szCs w:val="0"/>
      <w:lang w:eastAsia="en-US"/>
    </w:rPr>
  </w:style>
  <w:style w:type="paragraph" w:styleId="Voettekst">
    <w:name w:val="footer"/>
    <w:basedOn w:val="Standaard"/>
    <w:link w:val="VoettekstChar"/>
    <w:uiPriority w:val="99"/>
    <w:rsid w:val="00C60B46"/>
    <w:pPr>
      <w:tabs>
        <w:tab w:val="center" w:pos="4536"/>
        <w:tab w:val="right" w:pos="9072"/>
      </w:tabs>
    </w:pPr>
  </w:style>
  <w:style w:type="character" w:customStyle="1" w:styleId="VoettekstChar">
    <w:name w:val="Voettekst Char"/>
    <w:basedOn w:val="Standaardalinea-lettertype"/>
    <w:link w:val="Voettekst"/>
    <w:uiPriority w:val="99"/>
    <w:semiHidden/>
    <w:rsid w:val="007D0027"/>
    <w:rPr>
      <w:lang w:eastAsia="en-US"/>
    </w:rPr>
  </w:style>
  <w:style w:type="character" w:styleId="Paginanummer">
    <w:name w:val="page number"/>
    <w:basedOn w:val="Standaardalinea-lettertype"/>
    <w:uiPriority w:val="99"/>
    <w:rsid w:val="00C60B4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5</Pages>
  <Words>1541</Words>
  <Characters>8480</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Cijfers over Antwerpen 2000 – 2010*</vt:lpstr>
    </vt:vector>
  </TitlesOfParts>
  <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Cijfers over Antwerpen 2000 – 2010*</dc:title>
  <dc:subject/>
  <dc:creator>Philippe</dc:creator>
  <cp:keywords/>
  <dc:description/>
  <cp:lastModifiedBy>Philippe</cp:lastModifiedBy>
  <cp:revision>10</cp:revision>
  <cp:lastPrinted>2010-01-13T13:18:00Z</cp:lastPrinted>
  <dcterms:created xsi:type="dcterms:W3CDTF">2010-01-12T10:49:00Z</dcterms:created>
  <dcterms:modified xsi:type="dcterms:W3CDTF">2010-01-13T13:30:00Z</dcterms:modified>
</cp:coreProperties>
</file>